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bookmarkStart w:id="0" w:name="_GoBack"/>
      <w:bookmarkEnd w:id="0"/>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spacing w:line="450" w:lineRule="atLeast"/>
        <w:rPr>
          <w:rFonts w:hint="eastAsia" w:eastAsia="仿宋_GB2312"/>
          <w:sz w:val="32"/>
        </w:rPr>
      </w:pPr>
    </w:p>
    <w:p>
      <w:pPr>
        <w:spacing w:line="450" w:lineRule="atLeast"/>
        <w:rPr>
          <w:rFonts w:hint="eastAsia" w:eastAsia="仿宋_GB2312"/>
          <w:sz w:val="32"/>
        </w:rPr>
      </w:pPr>
    </w:p>
    <w:p>
      <w:pPr>
        <w:widowControl w:val="0"/>
        <w:tabs>
          <w:tab w:val="left" w:pos="1133"/>
        </w:tabs>
        <w:spacing w:line="568" w:lineRule="atLeast"/>
        <w:rPr>
          <w:rFonts w:hint="eastAsia" w:eastAsia="仿宋_GB2312"/>
          <w:sz w:val="32"/>
        </w:rPr>
      </w:pPr>
    </w:p>
    <w:p>
      <w:pPr>
        <w:spacing w:line="339" w:lineRule="atLeast"/>
        <w:rPr>
          <w:rFonts w:hint="eastAsia" w:eastAsia="仿宋_GB2312"/>
          <w:sz w:val="10"/>
        </w:rPr>
      </w:pPr>
    </w:p>
    <w:p>
      <w:pPr>
        <w:widowControl w:val="0"/>
        <w:spacing w:line="486" w:lineRule="atLeast"/>
        <w:ind w:firstLine="0" w:firstLineChars="0"/>
        <w:jc w:val="center"/>
        <w:rPr>
          <w:rFonts w:hint="eastAsia" w:ascii="仿宋_GB2312" w:hAnsi="仿宋_GB2312" w:eastAsia="仿宋_GB2312"/>
          <w:sz w:val="32"/>
        </w:rPr>
      </w:pPr>
      <w:r>
        <w:rPr>
          <w:rFonts w:hint="eastAsia" w:eastAsia="仿宋_GB2312"/>
          <w:sz w:val="32"/>
        </w:rPr>
        <w:t>虎政发〔</w:t>
      </w:r>
      <w:r>
        <w:rPr>
          <w:rFonts w:hint="eastAsia" w:ascii="仿宋_GB2312" w:hAnsi="仿宋_GB2312" w:eastAsia="仿宋_GB2312"/>
          <w:sz w:val="32"/>
        </w:rPr>
        <w:t>2019</w:t>
      </w:r>
      <w:r>
        <w:rPr>
          <w:rFonts w:hint="eastAsia" w:eastAsia="仿宋_GB2312"/>
          <w:sz w:val="32"/>
        </w:rPr>
        <w:t>〕</w:t>
      </w:r>
      <w:r>
        <w:rPr>
          <w:rFonts w:hint="eastAsia" w:ascii="仿宋_GB2312" w:hAnsi="仿宋_GB2312" w:eastAsia="仿宋_GB2312"/>
          <w:sz w:val="32"/>
        </w:rPr>
        <w:t>16号</w:t>
      </w:r>
    </w:p>
    <w:p>
      <w:pPr>
        <w:spacing w:line="486" w:lineRule="atLeast"/>
        <w:ind w:firstLine="635"/>
        <w:rPr>
          <w:rFonts w:hint="eastAsia" w:eastAsia="仿宋_GB2312"/>
          <w:sz w:val="32"/>
        </w:rPr>
      </w:pPr>
    </w:p>
    <w:p>
      <w:pPr>
        <w:spacing w:line="634" w:lineRule="atLeast"/>
        <w:ind w:firstLine="0"/>
        <w:jc w:val="center"/>
        <w:rPr>
          <w:rFonts w:hint="eastAsia" w:ascii="方正大标宋简体" w:hAnsi="方正大标宋简体" w:eastAsia="方正大标宋简体"/>
          <w:sz w:val="44"/>
        </w:rPr>
      </w:pPr>
    </w:p>
    <w:p>
      <w:pPr>
        <w:spacing w:line="634" w:lineRule="atLeast"/>
        <w:ind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虎林市人民政府关于印发虎林市</w:t>
      </w:r>
    </w:p>
    <w:p>
      <w:pPr>
        <w:spacing w:line="634" w:lineRule="atLeast"/>
        <w:ind w:left="1"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2019-2022年养老服务业发展规划的通知</w:t>
      </w:r>
    </w:p>
    <w:p>
      <w:pPr>
        <w:spacing w:line="611" w:lineRule="atLeast"/>
        <w:ind w:firstLine="0"/>
        <w:jc w:val="center"/>
        <w:rPr>
          <w:rFonts w:hint="eastAsia" w:ascii="方正大标宋简体" w:hAnsi="方正大标宋简体" w:eastAsia="方正大标宋简体"/>
          <w:sz w:val="44"/>
        </w:rPr>
      </w:pPr>
    </w:p>
    <w:p>
      <w:pPr>
        <w:widowControl w:val="0"/>
        <w:spacing w:line="627" w:lineRule="atLeast"/>
        <w:ind w:firstLine="0"/>
        <w:rPr>
          <w:rFonts w:hint="eastAsia" w:ascii="仿宋_GB2312" w:hAnsi="仿宋_GB2312" w:eastAsia="仿宋_GB2312"/>
          <w:sz w:val="32"/>
        </w:rPr>
      </w:pPr>
      <w:r>
        <w:rPr>
          <w:rFonts w:hint="eastAsia" w:ascii="仿宋_GB2312" w:hAnsi="仿宋_GB2312" w:eastAsia="仿宋_GB2312"/>
          <w:sz w:val="32"/>
        </w:rPr>
        <w:t>各乡（镇）人民政府，市政府各有关直属单位：</w:t>
      </w:r>
    </w:p>
    <w:p>
      <w:pPr>
        <w:widowControl w:val="0"/>
        <w:spacing w:line="627" w:lineRule="atLeast"/>
        <w:ind w:firstLine="0"/>
        <w:rPr>
          <w:rFonts w:hint="eastAsia" w:ascii="仿宋_GB2312" w:hAnsi="仿宋_GB2312" w:eastAsia="仿宋_GB2312"/>
          <w:sz w:val="32"/>
        </w:rPr>
      </w:pPr>
      <w:r>
        <w:rPr>
          <w:rFonts w:hint="eastAsia" w:ascii="仿宋_GB2312" w:hAnsi="仿宋_GB2312" w:eastAsia="仿宋_GB2312"/>
          <w:sz w:val="32"/>
        </w:rPr>
        <w:t xml:space="preserve">  《虎林市2019-2022年养老服务业发展规划》业经市政府六届三十次常务会议审议通过，现印发给你们，请认真组织实施。</w:t>
      </w:r>
    </w:p>
    <w:p>
      <w:pPr>
        <w:widowControl w:val="0"/>
        <w:spacing w:line="486" w:lineRule="atLeast"/>
        <w:ind w:firstLine="0"/>
        <w:rPr>
          <w:rFonts w:hint="eastAsia" w:ascii="仿宋_GB2312" w:hAnsi="仿宋_GB2312" w:eastAsia="仿宋_GB2312"/>
          <w:sz w:val="32"/>
        </w:rPr>
      </w:pPr>
    </w:p>
    <w:p>
      <w:pPr>
        <w:spacing w:line="486" w:lineRule="atLeast"/>
        <w:ind w:firstLine="0"/>
        <w:rPr>
          <w:rFonts w:hint="eastAsia" w:ascii="仿宋_GB2312" w:hAnsi="仿宋_GB2312" w:eastAsia="仿宋_GB2312"/>
          <w:sz w:val="32"/>
        </w:rPr>
      </w:pPr>
    </w:p>
    <w:p>
      <w:pPr>
        <w:spacing w:line="486" w:lineRule="atLeast"/>
        <w:ind w:firstLine="0"/>
        <w:rPr>
          <w:rFonts w:hint="eastAsia" w:ascii="仿宋_GB2312" w:hAnsi="仿宋_GB2312" w:eastAsia="仿宋_GB2312"/>
          <w:sz w:val="32"/>
        </w:rPr>
      </w:pPr>
    </w:p>
    <w:p>
      <w:pPr>
        <w:spacing w:line="486" w:lineRule="atLeast"/>
        <w:ind w:left="1" w:firstLine="0"/>
        <w:rPr>
          <w:rFonts w:hint="eastAsia" w:ascii="仿宋_GB2312" w:hAnsi="仿宋_GB2312" w:eastAsia="仿宋_GB2312"/>
          <w:spacing w:val="-12"/>
          <w:sz w:val="32"/>
        </w:rPr>
      </w:pPr>
      <w:r>
        <w:rPr>
          <w:rFonts w:hint="eastAsia" w:ascii="仿宋_GB2312" w:hAnsi="仿宋_GB2312" w:eastAsia="仿宋_GB2312"/>
          <w:sz w:val="32"/>
        </w:rPr>
        <w:t xml:space="preserve">                  </w:t>
      </w:r>
      <w:r>
        <w:rPr>
          <w:rFonts w:hint="eastAsia" w:ascii="仿宋_GB2312" w:hAnsi="仿宋_GB2312" w:eastAsia="仿宋_GB2312"/>
          <w:spacing w:val="-12"/>
          <w:sz w:val="32"/>
        </w:rPr>
        <w:t>虎林市人民政府</w:t>
      </w:r>
    </w:p>
    <w:p>
      <w:pPr>
        <w:spacing w:line="486" w:lineRule="atLeast"/>
        <w:ind w:left="1" w:firstLine="0"/>
        <w:rPr>
          <w:rFonts w:hint="eastAsia" w:ascii="仿宋_GB2312" w:hAnsi="仿宋_GB2312" w:eastAsia="仿宋_GB2312"/>
          <w:sz w:val="32"/>
        </w:rPr>
      </w:pPr>
      <w:r>
        <w:rPr>
          <w:rFonts w:hint="eastAsia" w:ascii="仿宋_GB2312" w:hAnsi="仿宋_GB2312" w:eastAsia="仿宋_GB2312"/>
          <w:sz w:val="32"/>
        </w:rPr>
        <w:t xml:space="preserve">                  2019年10月23日  </w:t>
      </w:r>
    </w:p>
    <w:p>
      <w:pPr>
        <w:widowControl w:val="0"/>
        <w:spacing w:line="575" w:lineRule="atLeast"/>
        <w:ind w:firstLine="0"/>
        <w:rPr>
          <w:rFonts w:hint="eastAsia" w:ascii="方正大标宋简体" w:hAnsi="方正大标宋简体" w:eastAsia="方正大标宋简体"/>
          <w:sz w:val="44"/>
        </w:rPr>
      </w:pPr>
    </w:p>
    <w:p>
      <w:pPr>
        <w:spacing w:line="575" w:lineRule="atLeast"/>
        <w:ind w:firstLine="0"/>
        <w:rPr>
          <w:rFonts w:hint="eastAsia" w:ascii="方正大标宋简体" w:hAnsi="方正大标宋简体" w:eastAsia="方正大标宋简体"/>
          <w:sz w:val="44"/>
        </w:rPr>
      </w:pPr>
    </w:p>
    <w:p>
      <w:pPr>
        <w:spacing w:line="634" w:lineRule="atLeast"/>
        <w:ind w:firstLine="0"/>
        <w:jc w:val="center"/>
        <w:rPr>
          <w:rFonts w:hint="eastAsia" w:ascii="方正大标宋简体" w:hAnsi="方正大标宋简体" w:eastAsia="方正大标宋简体"/>
          <w:sz w:val="44"/>
        </w:rPr>
      </w:pPr>
    </w:p>
    <w:p>
      <w:pPr>
        <w:spacing w:line="634" w:lineRule="atLeast"/>
        <w:ind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虎林市2019-2022年养老服务业发展规划</w:t>
      </w:r>
    </w:p>
    <w:p>
      <w:pPr>
        <w:spacing w:line="575" w:lineRule="atLeast"/>
        <w:ind w:firstLine="880" w:firstLineChars="0"/>
        <w:rPr>
          <w:rFonts w:hint="eastAsia" w:ascii="方正大标宋简体" w:hAnsi="方正大标宋简体" w:eastAsia="方正大标宋简体"/>
          <w:sz w:val="44"/>
        </w:rPr>
      </w:pPr>
    </w:p>
    <w:p>
      <w:pPr>
        <w:ind w:firstLine="639" w:firstLineChars="0"/>
        <w:rPr>
          <w:rFonts w:hint="eastAsia" w:ascii="仿宋_GB2312" w:hAnsi="仿宋_GB2312" w:eastAsia="仿宋_GB2312"/>
          <w:sz w:val="32"/>
        </w:rPr>
      </w:pPr>
      <w:r>
        <w:rPr>
          <w:rFonts w:hint="eastAsia" w:ascii="仿宋_GB2312" w:hAnsi="仿宋_GB2312" w:eastAsia="仿宋_GB2312"/>
          <w:sz w:val="32"/>
        </w:rPr>
        <w:t>为积极应对人口老龄化趋势，建立健全覆盖城乡的养老服务体系，促进养老服务业健康发展，根据《国务院关于加快发展养老服务业的若干意见》《黑龙江省国民经济和社会发展第十三个五年规划纲要》，结合我市实际制定本规划。</w:t>
      </w:r>
    </w:p>
    <w:p>
      <w:pPr>
        <w:ind w:firstLine="639" w:firstLineChars="0"/>
        <w:rPr>
          <w:rFonts w:hint="eastAsia" w:ascii="黑体" w:hAnsi="黑体" w:eastAsia="黑体"/>
          <w:sz w:val="32"/>
        </w:rPr>
      </w:pPr>
      <w:r>
        <w:rPr>
          <w:rFonts w:hint="eastAsia" w:ascii="黑体" w:hAnsi="黑体" w:eastAsia="黑体"/>
          <w:sz w:val="32"/>
        </w:rPr>
        <w:t>一、规划背景</w:t>
      </w:r>
    </w:p>
    <w:p>
      <w:pPr>
        <w:ind w:firstLine="639" w:firstLineChars="0"/>
        <w:rPr>
          <w:rFonts w:hint="eastAsia" w:ascii="仿宋_GB2312" w:hAnsi="仿宋_GB2312" w:eastAsia="仿宋_GB2312"/>
          <w:sz w:val="32"/>
        </w:rPr>
      </w:pPr>
      <w:r>
        <w:rPr>
          <w:rFonts w:hint="eastAsia" w:ascii="仿宋_GB2312" w:hAnsi="仿宋_GB2312" w:eastAsia="仿宋_GB2312"/>
          <w:sz w:val="32"/>
        </w:rPr>
        <w:t>虎林市辖11个乡镇、85个行政村，截至2018年底，市属人口15.14万人（包括城镇人口67350人、乡村人口84136人），其中60周岁以上老龄人口32662人,占总人口数的21.57%（同期全国和黑龙江省老年人口占比分别为16.7%和17.8%），按照国际上通用的人口老龄化判定标准（即60周岁及以上老年人口达到总人口的10%即进入人口老龄化社会），较之全国、全省现状，我市人口老龄化程度更加突出。</w:t>
      </w:r>
    </w:p>
    <w:p>
      <w:pPr>
        <w:ind w:firstLine="639" w:firstLineChars="0"/>
        <w:rPr>
          <w:rFonts w:hint="eastAsia" w:ascii="仿宋_GB2312" w:hAnsi="仿宋_GB2312" w:eastAsia="仿宋_GB2312"/>
          <w:sz w:val="32"/>
        </w:rPr>
      </w:pPr>
      <w:r>
        <w:rPr>
          <w:rFonts w:hint="eastAsia" w:ascii="仿宋_GB2312" w:hAnsi="仿宋_GB2312" w:eastAsia="仿宋_GB2312"/>
          <w:sz w:val="32"/>
        </w:rPr>
        <w:t>目前，我市共有养老机构3家，总面积10000余平方米，床位367张，其中：市社会福利院老年公寓建筑面积4700平方米，床位144张；市中心敬老院建筑面积4725平方米，床位数151张；市老来福养老院通过公建民营的形式无偿使用两处养老地点，一处为原新乐乡敬老院改建，平房建筑面积450平方米，床位36张；另一处为市中心敬老院南侧平房供养区，面积600多平方米，床位36张，主要用于收养失能、半失能人员。</w:t>
      </w:r>
    </w:p>
    <w:p>
      <w:pPr>
        <w:ind w:firstLine="639" w:firstLineChars="0"/>
        <w:rPr>
          <w:rFonts w:hint="eastAsia" w:ascii="仿宋_GB2312" w:hAnsi="仿宋_GB2312" w:eastAsia="仿宋_GB2312"/>
          <w:sz w:val="32"/>
        </w:rPr>
      </w:pPr>
      <w:r>
        <w:rPr>
          <w:rFonts w:hint="eastAsia" w:ascii="仿宋_GB2312" w:hAnsi="仿宋_GB2312" w:eastAsia="仿宋_GB2312"/>
          <w:sz w:val="32"/>
        </w:rPr>
        <w:t>我市养老服务体系尚不健全。居家养老尚未开展起来，机构养老服务供给不协调，普通床位暂时有余，护理、康复和医养结合服务供给不足，社会参与力量薄弱，每千名老龄人口养老床位数仅为11张，距我省“十三五”规划目标（每千名老龄人口养老床位数35张）相差近24个千分点。党的十八届五中全会提出“积极开展应对人口老龄化行动，弘扬敬老、养老、助老社会风尚，建设以居家为基础、社区为依托、机构为补充的多层次养老服务体系，推动医疗卫生和养老服务相结合，探索建立长效护理保险制度。全面放开养老服务市场，通过购买服务、股权合作等方式支持各类市场主体增加养老服务和产品供给”，党的十九大报告进一步提出“构建养老、孝老、敬老政策体系和社会环境，推进医养结合，加快老龄事业和产业发展”。在国家政策的指导和推动下，养老服务业正蓬勃兴起，我市养老服务业也将迎来前所未有的发展机遇。</w:t>
      </w:r>
    </w:p>
    <w:p>
      <w:pPr>
        <w:ind w:firstLine="639" w:firstLineChars="0"/>
        <w:rPr>
          <w:rFonts w:hint="eastAsia" w:ascii="黑体" w:hAnsi="黑体" w:eastAsia="黑体"/>
          <w:sz w:val="32"/>
        </w:rPr>
      </w:pPr>
      <w:r>
        <w:rPr>
          <w:rFonts w:hint="eastAsia" w:ascii="黑体" w:hAnsi="黑体" w:eastAsia="黑体"/>
          <w:sz w:val="32"/>
        </w:rPr>
        <w:t>二、总体思路</w:t>
      </w:r>
    </w:p>
    <w:p>
      <w:pPr>
        <w:ind w:firstLine="639" w:firstLineChars="0"/>
        <w:rPr>
          <w:rFonts w:hint="eastAsia" w:ascii="楷体_GB2312" w:hAnsi="楷体_GB2312" w:eastAsia="楷体_GB2312"/>
          <w:sz w:val="32"/>
        </w:rPr>
      </w:pPr>
      <w:r>
        <w:rPr>
          <w:rFonts w:hint="eastAsia" w:ascii="楷体_GB2312" w:hAnsi="楷体_GB2312" w:eastAsia="楷体_GB2312"/>
          <w:sz w:val="32"/>
        </w:rPr>
        <w:t>（一）指导思想</w:t>
      </w:r>
    </w:p>
    <w:p>
      <w:pPr>
        <w:ind w:firstLine="639" w:firstLineChars="0"/>
        <w:rPr>
          <w:rFonts w:hint="eastAsia" w:ascii="仿宋_GB2312" w:hAnsi="仿宋_GB2312" w:eastAsia="仿宋_GB2312"/>
          <w:sz w:val="32"/>
        </w:rPr>
      </w:pPr>
      <w:r>
        <w:rPr>
          <w:rFonts w:hint="eastAsia" w:ascii="仿宋_GB2312" w:hAnsi="仿宋_GB2312" w:eastAsia="仿宋_GB2312"/>
          <w:sz w:val="32"/>
        </w:rPr>
        <w:t>以习近平新时代中国特色社会主义思想为指导，以满足老年人日益增长的多元化养老需求为目标，以为老年群体提供成本可负担、方便可及的养老服务为重点，充分发挥政府主导作用、社会力量主体作用、家庭基础性作用，加快建立以居家为基础、社区为依托、机构为补充、医养相结合、覆盖城乡的养老服务体系，推动养老服务与医疗服务、旅游服务深度融合，努力打造具有虎林特色的健康养老产业体系。</w:t>
      </w:r>
    </w:p>
    <w:p>
      <w:pPr>
        <w:ind w:firstLine="639" w:firstLineChars="0"/>
        <w:rPr>
          <w:rFonts w:hint="eastAsia" w:ascii="楷体_GB2312" w:hAnsi="楷体_GB2312" w:eastAsia="楷体_GB2312"/>
          <w:sz w:val="32"/>
        </w:rPr>
      </w:pPr>
      <w:r>
        <w:rPr>
          <w:rFonts w:hint="eastAsia" w:ascii="楷体_GB2312" w:hAnsi="楷体_GB2312" w:eastAsia="楷体_GB2312"/>
          <w:sz w:val="32"/>
        </w:rPr>
        <w:t>（二）基本原则</w:t>
      </w:r>
    </w:p>
    <w:p>
      <w:pPr>
        <w:ind w:firstLine="639" w:firstLineChars="0"/>
        <w:rPr>
          <w:rFonts w:hint="eastAsia" w:ascii="仿宋_GB2312" w:hAnsi="仿宋_GB2312" w:eastAsia="仿宋_GB2312"/>
          <w:sz w:val="32"/>
        </w:rPr>
      </w:pPr>
      <w:r>
        <w:rPr>
          <w:rFonts w:hint="eastAsia" w:ascii="仿宋_GB2312" w:hAnsi="仿宋_GB2312" w:eastAsia="仿宋_GB2312"/>
          <w:sz w:val="32"/>
        </w:rPr>
        <w:t>1.政府主导，多元驱动。充分发挥政府在项目规划、政策扶持和落实监管等方面的主导作用，社会力量在养老服务中的主体作用，市场在资源配置中的决定作用，家庭和个人在养老事业的基础作用，形成政府、企业、社会和公民多元驱动合力，推进养老服务业均衡、协调、健康发展。</w:t>
      </w:r>
    </w:p>
    <w:p>
      <w:pPr>
        <w:ind w:firstLine="639" w:firstLineChars="0"/>
        <w:rPr>
          <w:rFonts w:hint="eastAsia" w:ascii="仿宋_GB2312" w:hAnsi="仿宋_GB2312" w:eastAsia="仿宋_GB2312"/>
          <w:sz w:val="32"/>
        </w:rPr>
      </w:pPr>
      <w:r>
        <w:rPr>
          <w:rFonts w:hint="eastAsia" w:ascii="仿宋_GB2312" w:hAnsi="仿宋_GB2312" w:eastAsia="仿宋_GB2312"/>
          <w:sz w:val="32"/>
        </w:rPr>
        <w:t>2.因地制宜，突出重点。根据我市实际科学规划，合理布局。依托生态优势、创新政策优势招商引资，引进和培育龙头企业，在重点保障失能、失智、失独、独居、高龄老年人养老服务需求的基础上，逐步惠及全体老年人，重点发展护理型、康复型、医养结合型养老服务项目，积极开展居家养老服务，补齐养老服务体系建设中的短板。</w:t>
      </w:r>
    </w:p>
    <w:p>
      <w:pPr>
        <w:ind w:firstLine="639" w:firstLineChars="0"/>
        <w:rPr>
          <w:rFonts w:hint="eastAsia" w:ascii="仿宋_GB2312" w:hAnsi="仿宋_GB2312" w:eastAsia="仿宋_GB2312"/>
          <w:sz w:val="32"/>
        </w:rPr>
      </w:pPr>
      <w:r>
        <w:rPr>
          <w:rFonts w:hint="eastAsia" w:ascii="仿宋_GB2312" w:hAnsi="仿宋_GB2312" w:eastAsia="仿宋_GB2312"/>
          <w:sz w:val="32"/>
        </w:rPr>
        <w:t>3.改革创新，激活市场。通过购买服务、公建民营、招商引资等方式支持各类市场主体增加对养老服务和产品供给的投入，改革养老服务管理机制，创新服务形式，引导社会释放养老需求，培育发展优势，激发参与活力。</w:t>
      </w:r>
    </w:p>
    <w:p>
      <w:pPr>
        <w:ind w:firstLine="639" w:firstLineChars="0"/>
        <w:rPr>
          <w:rFonts w:hint="eastAsia" w:ascii="楷体_GB2312" w:hAnsi="楷体_GB2312" w:eastAsia="楷体_GB2312"/>
          <w:sz w:val="32"/>
        </w:rPr>
      </w:pPr>
      <w:r>
        <w:rPr>
          <w:rFonts w:hint="eastAsia" w:ascii="楷体_GB2312" w:hAnsi="楷体_GB2312" w:eastAsia="楷体_GB2312"/>
          <w:sz w:val="32"/>
        </w:rPr>
        <w:t>（三）发展目标</w:t>
      </w:r>
    </w:p>
    <w:p>
      <w:pPr>
        <w:ind w:firstLine="639" w:firstLineChars="0"/>
        <w:rPr>
          <w:rFonts w:hint="eastAsia" w:ascii="仿宋_GB2312" w:hAnsi="仿宋_GB2312" w:eastAsia="仿宋_GB2312"/>
          <w:sz w:val="32"/>
        </w:rPr>
      </w:pPr>
      <w:r>
        <w:rPr>
          <w:rFonts w:hint="eastAsia" w:ascii="仿宋_GB2312" w:hAnsi="仿宋_GB2312" w:eastAsia="仿宋_GB2312"/>
          <w:sz w:val="32"/>
        </w:rPr>
        <w:t>到2022年,实现健康养老产业从单一养老向医疗、康复、养生、旅游等多元化养老产业转型,基本形成层次分明、布局合理、多业融合、独具特色的健康养老产业体系。产业服务满足不同层次需求，做到低端有保障、中端有市场、高端有选择。新增健康养老床位800张，每千名老龄人口拥有健康养老床位数达到35张以上，其中医养、护理、康复类床位数占50%以上。社区居家养老服务覆盖率在城市社区达到100%，农村社区达到50%。社区日间照料室覆盖率达90%以上。建立起以居家为基础、社区为依托、机构为补充、医养相结合、覆盖城乡的健康养老服务体系。</w:t>
      </w:r>
    </w:p>
    <w:p>
      <w:pPr>
        <w:ind w:firstLine="639" w:firstLineChars="0"/>
        <w:rPr>
          <w:rFonts w:hint="eastAsia" w:ascii="黑体" w:hAnsi="黑体" w:eastAsia="黑体"/>
          <w:sz w:val="32"/>
        </w:rPr>
      </w:pPr>
      <w:r>
        <w:rPr>
          <w:rFonts w:hint="eastAsia" w:ascii="黑体" w:hAnsi="黑体" w:eastAsia="黑体"/>
          <w:sz w:val="32"/>
        </w:rPr>
        <w:t>三、主要任务</w:t>
      </w:r>
    </w:p>
    <w:p>
      <w:pPr>
        <w:ind w:firstLine="639" w:firstLineChars="0"/>
        <w:rPr>
          <w:rFonts w:hint="eastAsia" w:ascii="仿宋_GB2312" w:hAnsi="仿宋_GB2312" w:eastAsia="仿宋_GB2312"/>
          <w:sz w:val="32"/>
        </w:rPr>
      </w:pPr>
      <w:r>
        <w:rPr>
          <w:rFonts w:hint="eastAsia" w:ascii="仿宋_GB2312" w:hAnsi="仿宋_GB2312" w:eastAsia="仿宋_GB2312"/>
          <w:sz w:val="32"/>
        </w:rPr>
        <w:t>1.改建扩建和新上项目。扩大医养、护理、康复等特需养老服务的供给，对社会福利院和中心敬老院所在地进行重新规划，以优惠政策引资开发，升级改造，扩大规模，建设成护理、康复、医养、示范等功能齐全的现代化健康养老服务中心。利用原同和学校教学楼和校园内闲置农田地，吸引社会资金，将其建设成田园自力耕种、独具特色的自助养老服务基地。鼓励市人民医院、中医医院、红十字医院等医疗单位，向护理和养老服务延伸，利用空余病床，设立老年医养康复病床，开展医养结合服务。积极促成北京首创康医养项目在我市落地实施。支持黑龙江康惠医疗机构管理有限公司将我市果蔬批发市场综合楼7000平方米闲置楼层改建为医养结合养老项目用房。</w:t>
      </w:r>
    </w:p>
    <w:p>
      <w:pPr>
        <w:ind w:firstLine="639" w:firstLineChars="0"/>
        <w:rPr>
          <w:rFonts w:hint="eastAsia" w:ascii="仿宋_GB2312" w:hAnsi="仿宋_GB2312" w:eastAsia="仿宋_GB2312"/>
          <w:sz w:val="32"/>
        </w:rPr>
      </w:pPr>
      <w:r>
        <w:rPr>
          <w:rFonts w:hint="eastAsia" w:ascii="仿宋_GB2312" w:hAnsi="仿宋_GB2312" w:eastAsia="仿宋_GB2312"/>
          <w:sz w:val="32"/>
        </w:rPr>
        <w:t>2.积极开展居家养老服务。以满足老年人服务需求为导向，创新服务模式，引导养老服务机构依托社区综合服务设施，以日间托管和上门服务为主要方式，以生活照料、家政服务、精神慰藉、护理保健、辅具配置、紧急救援等为主要服务内容，为老年人提供上门助餐、助浴、助洁、助急、助医等定制服务。完善社区医养服务设施，在社区养老服务机构配备护理人员、康复护理设施设备。引导社会力量管理运营社区医疗养老服务机构和设施，培育品牌化、连锁化、规模化的龙头社会组织，使社会力量成为提供社区居家养老服务的主体。</w:t>
      </w:r>
    </w:p>
    <w:p>
      <w:pPr>
        <w:ind w:firstLine="639" w:firstLineChars="0"/>
        <w:rPr>
          <w:rFonts w:hint="eastAsia" w:ascii="仿宋_GB2312" w:hAnsi="仿宋_GB2312" w:eastAsia="仿宋_GB2312"/>
          <w:sz w:val="32"/>
        </w:rPr>
      </w:pPr>
      <w:r>
        <w:rPr>
          <w:rFonts w:hint="eastAsia" w:ascii="仿宋_GB2312" w:hAnsi="仿宋_GB2312" w:eastAsia="仿宋_GB2312"/>
          <w:sz w:val="32"/>
        </w:rPr>
        <w:t>3.推动“互联网+”养老工程。通过调查摸底和信息采集建立老年人基本信息和服务需求信息电子档案；支持社会养老企业、机构和组织运用人工智能、物联网、云计算、大数据等新一代信息技术和智能硬件产品在养老服务领域深度应用。</w:t>
      </w:r>
    </w:p>
    <w:p>
      <w:pPr>
        <w:ind w:firstLine="639" w:firstLineChars="0"/>
        <w:rPr>
          <w:rFonts w:hint="eastAsia" w:ascii="仿宋_GB2312" w:hAnsi="仿宋_GB2312" w:eastAsia="仿宋_GB2312"/>
          <w:sz w:val="32"/>
        </w:rPr>
      </w:pPr>
      <w:r>
        <w:rPr>
          <w:rFonts w:hint="eastAsia" w:ascii="仿宋_GB2312" w:hAnsi="仿宋_GB2312" w:eastAsia="仿宋_GB2312"/>
          <w:sz w:val="32"/>
        </w:rPr>
        <w:t>4.开发中医养生、食疗养生、生态养生等功能性养老产品。开发候鸟式养老、田园养老等新业态，提供多元化、特色化旅居养老服务。发挥森林资源丰富、分布广泛的优势，科学开展森林抚育、林相改造和景观提升，重点实施七虎林林场森林氧吧、康养中心等项目，争创国家、省级森林康养基地。</w:t>
      </w:r>
    </w:p>
    <w:p>
      <w:pPr>
        <w:ind w:firstLine="639" w:firstLineChars="0"/>
        <w:rPr>
          <w:rFonts w:hint="eastAsia" w:ascii="仿宋_GB2312" w:hAnsi="仿宋_GB2312" w:eastAsia="仿宋_GB2312"/>
          <w:sz w:val="32"/>
        </w:rPr>
      </w:pPr>
      <w:r>
        <w:rPr>
          <w:rFonts w:hint="eastAsia" w:ascii="仿宋_GB2312" w:hAnsi="仿宋_GB2312" w:eastAsia="仿宋_GB2312"/>
          <w:sz w:val="32"/>
        </w:rPr>
        <w:t>5.开发虎林老年养生保健食品、药品。依托我市优质的薇菜、木耳、蘑菇、蜂蜜、熊胆粉、北药等独特资源，发挥本地药业、酒业、蜂业等企业的研发和加工优势，开发生产老年养生保健食品、药品，打造虎林老年养生保健产品品牌，开拓市场，提升虎林健康养老产业的知名度。</w:t>
      </w:r>
    </w:p>
    <w:p>
      <w:pPr>
        <w:ind w:firstLine="639" w:firstLineChars="0"/>
        <w:rPr>
          <w:rFonts w:hint="eastAsia" w:ascii="仿宋_GB2312" w:hAnsi="仿宋_GB2312" w:eastAsia="仿宋_GB2312"/>
          <w:sz w:val="32"/>
        </w:rPr>
      </w:pPr>
      <w:r>
        <w:rPr>
          <w:rFonts w:hint="eastAsia" w:ascii="仿宋_GB2312" w:hAnsi="仿宋_GB2312" w:eastAsia="仿宋_GB2312"/>
          <w:sz w:val="32"/>
        </w:rPr>
        <w:t>6.丰富老年文化娱乐生活。加强老年人文化活动基础设施建设，将其纳入基本公共文化服务体系和城乡规划。加大老年人公共文化服务供给，鼓励各类公共文化服务设施向老年人免费开放。发挥文旅、教育部门的职能作用，对老年人健康文化娱乐活动给予支持和指导。鼓励、支持社会力量广泛开展内容丰富、形式多样的群众性老年文娱活动。</w:t>
      </w:r>
    </w:p>
    <w:p>
      <w:pPr>
        <w:ind w:firstLine="639" w:firstLineChars="0"/>
        <w:rPr>
          <w:rFonts w:hint="eastAsia" w:ascii="黑体" w:hAnsi="黑体" w:eastAsia="黑体"/>
          <w:sz w:val="32"/>
        </w:rPr>
      </w:pPr>
      <w:r>
        <w:rPr>
          <w:rFonts w:hint="eastAsia" w:ascii="黑体" w:hAnsi="黑体" w:eastAsia="黑体"/>
          <w:sz w:val="32"/>
        </w:rPr>
        <w:t>四、保障措施</w:t>
      </w:r>
    </w:p>
    <w:p>
      <w:pPr>
        <w:ind w:firstLine="639" w:firstLineChars="0"/>
        <w:rPr>
          <w:rFonts w:hint="eastAsia" w:ascii="仿宋_GB2312" w:hAnsi="仿宋_GB2312" w:eastAsia="仿宋_GB2312"/>
          <w:sz w:val="32"/>
        </w:rPr>
      </w:pPr>
      <w:r>
        <w:rPr>
          <w:rFonts w:hint="eastAsia" w:ascii="仿宋_GB2312" w:hAnsi="仿宋_GB2312" w:eastAsia="仿宋_GB2312"/>
          <w:sz w:val="32"/>
        </w:rPr>
        <w:t>1.强化统筹协调。成立虎林市健康养老产业发展工作领导小组，全面统筹我市健康养老产业发展工作，部署卫健、医保、养老、旅游等相关政策的配套实施。</w:t>
      </w:r>
    </w:p>
    <w:p>
      <w:pPr>
        <w:ind w:firstLine="639" w:firstLineChars="0"/>
        <w:rPr>
          <w:rFonts w:hint="eastAsia" w:ascii="仿宋_GB2312" w:hAnsi="仿宋_GB2312" w:eastAsia="仿宋_GB2312"/>
          <w:sz w:val="32"/>
        </w:rPr>
      </w:pPr>
      <w:r>
        <w:rPr>
          <w:rFonts w:hint="eastAsia" w:ascii="仿宋_GB2312" w:hAnsi="仿宋_GB2312" w:eastAsia="仿宋_GB2312"/>
          <w:sz w:val="32"/>
        </w:rPr>
        <w:t>2.完善扶持政策。根据国家、省相关养老服务业法律法规和政策措施，全面梳理养老产业发展领域相关政策，从财政支持、土地供给、税收优惠、技术创新等方面加大对健康养老产业发展的扶持力度。</w:t>
      </w:r>
    </w:p>
    <w:p>
      <w:pPr>
        <w:ind w:firstLine="639" w:firstLineChars="0"/>
        <w:rPr>
          <w:rFonts w:hint="eastAsia" w:ascii="仿宋_GB2312" w:hAnsi="仿宋_GB2312" w:eastAsia="仿宋_GB2312"/>
          <w:sz w:val="32"/>
        </w:rPr>
      </w:pPr>
      <w:r>
        <w:rPr>
          <w:rFonts w:hint="eastAsia" w:ascii="仿宋_GB2312" w:hAnsi="仿宋_GB2312" w:eastAsia="仿宋_GB2312"/>
          <w:sz w:val="32"/>
        </w:rPr>
        <w:t>3.加大资金投入。加大财政资金对养老服务业发展的投入力度，在继续争取中央和省资金投入的同时，适时提高养老设施建设补贴、床位运营补贴、服务补贴、失能失智老人护理补贴和高龄老人津贴。用好社会福利事业的彩票公益金，力争将50%以上用在支持发展养老服务业上；加大对养老服务设施建设投入力度和社会养老机构支持力度，积极探索拓展社会养老服务市场化融资渠道，采取直接补助或贴息的方式，支持民间资本投资养老服务业。</w:t>
      </w:r>
    </w:p>
    <w:p>
      <w:pPr>
        <w:ind w:firstLine="639" w:firstLineChars="0"/>
        <w:rPr>
          <w:rFonts w:hint="eastAsia" w:ascii="仿宋_GB2312" w:hAnsi="仿宋_GB2312" w:eastAsia="仿宋_GB2312"/>
          <w:sz w:val="32"/>
        </w:rPr>
      </w:pPr>
      <w:r>
        <w:rPr>
          <w:rFonts w:hint="eastAsia" w:ascii="仿宋_GB2312" w:hAnsi="仿宋_GB2312" w:eastAsia="仿宋_GB2312"/>
          <w:sz w:val="32"/>
        </w:rPr>
        <w:t>4.营造良好氛围。建立养老志愿服务登记注册、培训服务、激励表彰等运营机制，探索建立健康老人参与志愿互助服务的工作机制，定期组织开展邻里守望、敬老爱老等志愿服务活动。引导老年人树立健康化养老思想和社会化养老消费理念。推动各级文化娱乐、公共体育等设施对老年人开放，鼓励开展内容丰富、形式多样的群众性老年文体活动。广泛宣传敬老、养老、爱老、助老、孝老传统美德和养老服务先进典型，在全社会形成良好的养老舆论氛围。</w:t>
      </w:r>
    </w:p>
    <w:p>
      <w:pPr>
        <w:spacing w:line="450"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w:t>
      </w:r>
    </w:p>
    <w:p>
      <w:pPr>
        <w:spacing w:line="450" w:lineRule="atLeast"/>
        <w:ind w:firstLine="639" w:firstLineChars="0"/>
        <w:rPr>
          <w:rFonts w:hint="eastAsia" w:ascii="仿宋_GB2312" w:hAnsi="仿宋_GB2312" w:eastAsia="仿宋_GB2312"/>
          <w:sz w:val="32"/>
        </w:rPr>
      </w:pPr>
    </w:p>
    <w:p>
      <w:pPr>
        <w:spacing w:line="450" w:lineRule="atLeast"/>
        <w:ind w:firstLine="639" w:firstLineChars="0"/>
        <w:rPr>
          <w:rFonts w:hint="eastAsia" w:ascii="仿宋_GB2312" w:hAnsi="仿宋_GB2312" w:eastAsia="仿宋_GB2312"/>
          <w:sz w:val="32"/>
        </w:rPr>
      </w:pPr>
    </w:p>
    <w:p>
      <w:pPr>
        <w:spacing w:line="450" w:lineRule="atLeast"/>
        <w:ind w:firstLine="639" w:firstLineChars="0"/>
        <w:rPr>
          <w:rFonts w:hint="eastAsia" w:ascii="仿宋_GB2312" w:hAnsi="仿宋_GB2312" w:eastAsia="仿宋_GB2312"/>
          <w:sz w:val="32"/>
        </w:rPr>
      </w:pPr>
    </w:p>
    <w:p>
      <w:pPr>
        <w:spacing w:line="450" w:lineRule="atLeast"/>
        <w:ind w:firstLine="639" w:firstLineChars="0"/>
        <w:rPr>
          <w:rFonts w:hint="eastAsia" w:ascii="仿宋_GB2312" w:hAnsi="仿宋_GB2312" w:eastAsia="仿宋_GB2312"/>
          <w:sz w:val="32"/>
        </w:rPr>
      </w:pPr>
    </w:p>
    <w:p>
      <w:pPr>
        <w:spacing w:line="450" w:lineRule="atLeast"/>
        <w:ind w:firstLine="639" w:firstLineChars="0"/>
        <w:rPr>
          <w:rFonts w:hint="eastAsia" w:ascii="仿宋_GB2312" w:hAnsi="仿宋_GB2312" w:eastAsia="仿宋_GB2312"/>
          <w:sz w:val="32"/>
        </w:rPr>
      </w:pPr>
    </w:p>
    <w:p>
      <w:pPr>
        <w:spacing w:line="409" w:lineRule="atLeast"/>
        <w:ind w:firstLine="0" w:firstLineChars="0"/>
        <w:rPr>
          <w:rFonts w:hint="eastAsia" w:eastAsia="方正小标宋简体"/>
          <w:sz w:val="28"/>
          <w:u w:val="single" w:color="auto"/>
        </w:rPr>
      </w:pPr>
      <w:r>
        <w:rPr>
          <w:rFonts w:hint="eastAsia" w:eastAsia="方正小标宋简体"/>
          <w:sz w:val="28"/>
          <w:u w:val="single" w:color="auto"/>
        </w:rPr>
        <w:t xml:space="preserve">                                                                 </w:t>
      </w:r>
    </w:p>
    <w:p>
      <w:pPr>
        <w:spacing w:before="0" w:after="0" w:line="409" w:lineRule="atLeast"/>
        <w:ind w:left="1" w:firstLine="0"/>
        <w:jc w:val="left"/>
        <w:rPr>
          <w:rFonts w:hint="eastAsia" w:eastAsia="仿宋_GB2312"/>
          <w:sz w:val="28"/>
        </w:rPr>
      </w:pPr>
      <w:r>
        <w:rPr>
          <w:rFonts w:hint="eastAsia" w:eastAsia="仿宋_GB2312"/>
          <w:sz w:val="28"/>
        </w:rPr>
        <w:t xml:space="preserve">  抄送：市委办。</w:t>
      </w:r>
    </w:p>
    <w:p>
      <w:pPr>
        <w:spacing w:before="0" w:after="0" w:line="409" w:lineRule="atLeast"/>
        <w:ind w:firstLine="0"/>
        <w:jc w:val="left"/>
        <w:rPr>
          <w:rFonts w:hint="eastAsia" w:eastAsia="仿宋_GB2312"/>
          <w:spacing w:val="-4"/>
          <w:sz w:val="28"/>
          <w:u w:val="single" w:color="auto"/>
        </w:rPr>
      </w:pPr>
      <w:r>
        <w:rPr>
          <w:rFonts w:hint="eastAsia" w:eastAsia="仿宋_GB2312"/>
          <w:spacing w:val="-4"/>
          <w:sz w:val="28"/>
          <w:u w:val="single" w:color="auto"/>
        </w:rPr>
        <w:t xml:space="preserve">        </w:t>
      </w:r>
      <w:r>
        <w:rPr>
          <w:rFonts w:hint="eastAsia" w:eastAsia="仿宋_GB2312"/>
          <w:spacing w:val="-1"/>
          <w:sz w:val="10"/>
          <w:u w:val="single" w:color="auto"/>
        </w:rPr>
        <w:t xml:space="preserve"> </w:t>
      </w:r>
      <w:r>
        <w:rPr>
          <w:rFonts w:hint="eastAsia" w:eastAsia="仿宋_GB2312"/>
          <w:spacing w:val="-4"/>
          <w:sz w:val="28"/>
          <w:u w:val="single" w:color="auto"/>
        </w:rPr>
        <w:t xml:space="preserve">市人大办，市政协办，市法院，市检察院。                     </w:t>
      </w:r>
    </w:p>
    <w:p>
      <w:pPr>
        <w:widowControl w:val="0"/>
        <w:spacing w:before="0" w:after="0" w:line="409" w:lineRule="atLeast"/>
        <w:ind w:firstLine="0"/>
        <w:rPr>
          <w:rFonts w:hint="eastAsia" w:eastAsia="仿宋_GB2312"/>
          <w:sz w:val="28"/>
          <w:u w:val="single" w:color="auto"/>
        </w:rPr>
      </w:pPr>
      <w:r>
        <w:rPr>
          <w:rFonts w:hint="eastAsia" w:eastAsia="仿宋_GB2312"/>
          <w:sz w:val="28"/>
          <w:u w:val="single" w:color="auto"/>
        </w:rPr>
        <w:t xml:space="preserve">  虎林市人民政府办公室                      </w:t>
      </w:r>
      <w:r>
        <w:rPr>
          <w:rFonts w:hint="eastAsia" w:ascii="仿宋_GB2312" w:hAnsi="仿宋_GB2312" w:eastAsia="仿宋_GB2312"/>
          <w:sz w:val="28"/>
          <w:u w:val="single" w:color="auto"/>
        </w:rPr>
        <w:t xml:space="preserve"> 2019</w:t>
      </w:r>
      <w:r>
        <w:rPr>
          <w:rFonts w:hint="eastAsia" w:eastAsia="仿宋_GB2312"/>
          <w:sz w:val="28"/>
          <w:u w:val="single" w:color="auto"/>
        </w:rPr>
        <w:t>年</w:t>
      </w:r>
      <w:r>
        <w:rPr>
          <w:rFonts w:hint="eastAsia" w:ascii="仿宋_GB2312" w:hAnsi="仿宋_GB2312" w:eastAsia="仿宋_GB2312"/>
          <w:sz w:val="28"/>
          <w:u w:val="single" w:color="auto"/>
        </w:rPr>
        <w:t>10月23</w:t>
      </w:r>
      <w:r>
        <w:rPr>
          <w:rFonts w:hint="eastAsia" w:eastAsia="仿宋_GB2312"/>
          <w:sz w:val="28"/>
          <w:u w:val="single" w:color="auto"/>
        </w:rPr>
        <w:t xml:space="preserve">日印发  </w:t>
      </w:r>
    </w:p>
    <w:p>
      <w:pPr>
        <w:spacing w:before="0" w:after="0" w:line="409" w:lineRule="atLeast"/>
        <w:ind w:firstLine="0"/>
        <w:jc w:val="right"/>
        <w:rPr>
          <w:rFonts w:hint="eastAsia"/>
          <w:sz w:val="21"/>
        </w:rPr>
      </w:pPr>
      <w:r>
        <w:rPr>
          <w:rFonts w:hint="eastAsia" w:eastAsia="仿宋_GB2312"/>
          <w:sz w:val="28"/>
        </w:rPr>
        <w:t xml:space="preserve">  共印</w:t>
      </w:r>
      <w:r>
        <w:rPr>
          <w:rFonts w:hint="eastAsia" w:ascii="仿宋_GB2312" w:hAnsi="仿宋_GB2312" w:eastAsia="仿宋_GB2312"/>
          <w:sz w:val="28"/>
        </w:rPr>
        <w:t>50</w:t>
      </w:r>
      <w:r>
        <w:rPr>
          <w:rFonts w:hint="eastAsia" w:eastAsia="仿宋_GB2312"/>
          <w:sz w:val="28"/>
        </w:rPr>
        <w:t>份。</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1984" w:right="1417" w:bottom="1417" w:left="1417" w:header="566" w:footer="1133"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00"/>
      </w:pPr>
      <w:r>
        <w:separator/>
      </w:r>
    </w:p>
  </w:endnote>
  <w:endnote w:type="continuationSeparator" w:id="1">
    <w:p>
      <w:pPr>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2336"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2336;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00"/>
      </w:pPr>
      <w:r>
        <w:separator/>
      </w:r>
    </w:p>
  </w:footnote>
  <w:footnote w:type="continuationSeparator" w:id="1">
    <w:p>
      <w:pPr>
        <w:ind w:firstLine="4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8997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60288;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BN5i3z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2"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HS2FvL0BAABwAwAADgAAAAAAAAABACAAAAAlAQAAZHJzL2Uyb0RvYy54bWxQ&#10;SwUGAAAAAAYABgBZAQAAVAU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8997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9264;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G4F+sn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1"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newjVL0BAABwAwAADgAAAAAAAAABACAAAAAlAQAAZHJzL2Uyb0RvYy54bWxQ&#10;SwUGAAAAAAYABgBZAQAAVAU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B2452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6"/>
    <w:uiPriority w:val="0"/>
    <w:pPr>
      <w:jc w:val="center"/>
    </w:pPr>
    <w:rPr>
      <w:rFonts w:eastAsia="黑体"/>
      <w:sz w:val="44"/>
    </w:rPr>
  </w:style>
  <w:style w:type="paragraph" w:customStyle="1" w:styleId="16">
    <w:name w:val="11"/>
    <w:basedOn w:val="1"/>
    <w:uiPriority w:val="0"/>
    <w:pPr>
      <w:spacing w:line="454" w:lineRule="atLeast"/>
    </w:pPr>
    <w:rPr>
      <w:sz w:val="32"/>
    </w:rPr>
  </w:style>
  <w:style w:type="paragraph" w:customStyle="1" w:styleId="17">
    <w:name w:val="WPS Plain"/>
    <w:uiPriority w:val="0"/>
  </w:style>
  <w:style w:type="character" w:customStyle="1" w:styleId="18">
    <w:name w:val="链接"/>
    <w:basedOn w:val="11"/>
    <w:uiPriority w:val="0"/>
    <w:rPr>
      <w:color w:val="0000FF"/>
      <w:u w:val="single" w:color="0000FF"/>
    </w:rPr>
  </w:style>
  <w:style w:type="character" w:customStyle="1" w:styleId="19">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2021-04-30T01:59:08Z</dcterms:created>
  <dc:creator>虎林市不动峰网络科技有限公司</dc:creator>
  <cp:lastModifiedBy>虎林市不动峰网络科技有限公司</cp:lastModifiedBy>
  <dcterms:modified xsi:type="dcterms:W3CDTF">2021-04-30T01:59:21Z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1359B3525A4C499FA193445AEF25CF43</vt:lpwstr>
  </property>
</Properties>
</file>