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252" w:lineRule="auto"/>
        <w:rPr>
          <w:rFonts w:hint="eastAsia" w:eastAsia="仿宋_GB2312"/>
          <w:sz w:val="32"/>
        </w:rPr>
      </w:pPr>
      <w:bookmarkStart w:id="0" w:name="_GoBack"/>
      <w:bookmarkEnd w:id="0"/>
    </w:p>
    <w:p>
      <w:pPr>
        <w:spacing w:line="252" w:lineRule="auto"/>
        <w:rPr>
          <w:rFonts w:hint="eastAsia" w:eastAsia="仿宋_GB2312"/>
          <w:sz w:val="32"/>
        </w:rPr>
      </w:pPr>
    </w:p>
    <w:p>
      <w:pPr>
        <w:spacing w:line="252" w:lineRule="auto"/>
        <w:jc w:val="center"/>
        <w:rPr>
          <w:rFonts w:hint="eastAsia" w:eastAsia="仿宋_GB2312"/>
          <w:sz w:val="36"/>
        </w:rPr>
      </w:pPr>
    </w:p>
    <w:p>
      <w:pPr>
        <w:spacing w:line="252" w:lineRule="auto"/>
        <w:jc w:val="center"/>
        <w:rPr>
          <w:rFonts w:hint="eastAsia" w:eastAsia="仿宋_GB2312"/>
          <w:sz w:val="32"/>
        </w:rPr>
      </w:pPr>
    </w:p>
    <w:p>
      <w:pPr>
        <w:spacing w:line="252" w:lineRule="auto"/>
        <w:jc w:val="center"/>
        <w:rPr>
          <w:rFonts w:hint="eastAsia" w:eastAsia="仿宋_GB2312"/>
          <w:sz w:val="32"/>
        </w:rPr>
      </w:pPr>
      <w:r>
        <w:rPr>
          <w:rFonts w:hint="eastAsia" w:eastAsia="仿宋_GB2312"/>
          <w:sz w:val="32"/>
        </w:rPr>
        <w:t xml:space="preserve"> </w:t>
      </w:r>
    </w:p>
    <w:p>
      <w:pPr>
        <w:spacing w:line="252" w:lineRule="auto"/>
        <w:jc w:val="center"/>
        <w:rPr>
          <w:rFonts w:hint="eastAsia" w:eastAsia="仿宋_GB2312"/>
          <w:sz w:val="32"/>
        </w:rPr>
      </w:pPr>
    </w:p>
    <w:p>
      <w:pPr>
        <w:spacing w:line="252" w:lineRule="auto"/>
        <w:jc w:val="center"/>
        <w:rPr>
          <w:rFonts w:hint="eastAsia" w:eastAsia="仿宋_GB2312"/>
          <w:sz w:val="32"/>
        </w:rPr>
      </w:pPr>
    </w:p>
    <w:p>
      <w:pPr>
        <w:spacing w:line="252" w:lineRule="auto"/>
        <w:jc w:val="center"/>
        <w:rPr>
          <w:rFonts w:hint="eastAsia" w:eastAsia="仿宋_GB2312"/>
          <w:sz w:val="32"/>
        </w:rPr>
      </w:pPr>
    </w:p>
    <w:p>
      <w:pPr>
        <w:spacing w:line="252" w:lineRule="auto"/>
        <w:jc w:val="center"/>
        <w:rPr>
          <w:rFonts w:hint="eastAsia" w:eastAsia="仿宋_GB2312"/>
          <w:sz w:val="32"/>
        </w:rPr>
      </w:pPr>
    </w:p>
    <w:p>
      <w:pPr>
        <w:widowControl w:val="0"/>
        <w:spacing w:line="252" w:lineRule="auto"/>
        <w:jc w:val="center"/>
        <w:rPr>
          <w:rFonts w:hint="eastAsia" w:eastAsia="仿宋_GB2312"/>
          <w:sz w:val="32"/>
        </w:rPr>
      </w:pPr>
      <w:r>
        <w:rPr>
          <w:rFonts w:hint="eastAsia" w:eastAsia="仿宋_GB2312"/>
          <w:sz w:val="32"/>
        </w:rPr>
        <w:t>虎政规〔2017〕3号</w:t>
      </w:r>
    </w:p>
    <w:p>
      <w:pPr>
        <w:spacing w:line="252" w:lineRule="auto"/>
        <w:rPr>
          <w:rFonts w:hint="eastAsia" w:eastAsia="仿宋_GB2312"/>
          <w:sz w:val="32"/>
        </w:rPr>
      </w:pPr>
    </w:p>
    <w:p>
      <w:pPr>
        <w:widowControl w:val="0"/>
        <w:spacing w:before="0" w:after="0" w:line="252" w:lineRule="auto"/>
        <w:jc w:val="both"/>
        <w:rPr>
          <w:rFonts w:hint="eastAsia" w:eastAsia="仿宋_GB2312"/>
          <w:sz w:val="32"/>
        </w:rPr>
      </w:pPr>
    </w:p>
    <w:p>
      <w:pPr>
        <w:widowControl w:val="0"/>
        <w:spacing w:line="252" w:lineRule="auto"/>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w:t>
      </w:r>
    </w:p>
    <w:p>
      <w:pPr>
        <w:widowControl w:val="0"/>
        <w:spacing w:line="252" w:lineRule="auto"/>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虎林市土壤污染防治实施方案的通知</w:t>
      </w:r>
    </w:p>
    <w:p>
      <w:pPr>
        <w:spacing w:line="252" w:lineRule="auto"/>
        <w:rPr>
          <w:rFonts w:hint="eastAsia" w:ascii="方正大标宋简体" w:hAnsi="方正大标宋简体" w:eastAsia="方正大标宋简体"/>
          <w:sz w:val="44"/>
        </w:rPr>
      </w:pPr>
    </w:p>
    <w:p>
      <w:pPr>
        <w:widowControl w:val="0"/>
        <w:spacing w:line="260" w:lineRule="auto"/>
        <w:ind w:firstLine="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260" w:lineRule="auto"/>
        <w:rPr>
          <w:rFonts w:hint="eastAsia" w:ascii="仿宋_GB2312" w:hAnsi="仿宋_GB2312" w:eastAsia="仿宋_GB2312"/>
          <w:sz w:val="32"/>
        </w:rPr>
      </w:pPr>
      <w:r>
        <w:rPr>
          <w:rFonts w:hint="eastAsia" w:ascii="仿宋_GB2312" w:hAnsi="仿宋_GB2312" w:eastAsia="仿宋_GB2312"/>
          <w:sz w:val="32"/>
        </w:rPr>
        <w:t>经市政府领导同意，现将《虎林市土壤污染防治实施方案》印发给你们，请认真组织实施。</w:t>
      </w:r>
    </w:p>
    <w:p>
      <w:pPr>
        <w:spacing w:line="260" w:lineRule="auto"/>
        <w:rPr>
          <w:rFonts w:hint="eastAsia" w:ascii="仿宋_GB2312" w:hAnsi="仿宋_GB2312" w:eastAsia="仿宋_GB2312"/>
          <w:sz w:val="32"/>
        </w:rPr>
      </w:pPr>
    </w:p>
    <w:p>
      <w:pPr>
        <w:spacing w:line="260" w:lineRule="auto"/>
        <w:rPr>
          <w:rFonts w:hint="eastAsia" w:ascii="仿宋_GB2312" w:hAnsi="仿宋_GB2312" w:eastAsia="仿宋_GB2312"/>
          <w:sz w:val="32"/>
        </w:rPr>
      </w:pPr>
    </w:p>
    <w:p>
      <w:pPr>
        <w:spacing w:line="260" w:lineRule="auto"/>
        <w:rPr>
          <w:rFonts w:hint="eastAsia" w:ascii="仿宋_GB2312" w:hAnsi="仿宋_GB2312" w:eastAsia="仿宋_GB2312"/>
          <w:sz w:val="32"/>
        </w:rPr>
      </w:pPr>
    </w:p>
    <w:p>
      <w:pPr>
        <w:spacing w:line="260" w:lineRule="auto"/>
        <w:rPr>
          <w:rFonts w:hint="eastAsia" w:ascii="仿宋_GB2312" w:hAnsi="仿宋_GB2312" w:eastAsia="仿宋_GB2312"/>
          <w:sz w:val="32"/>
        </w:rPr>
      </w:pPr>
    </w:p>
    <w:p>
      <w:pPr>
        <w:spacing w:line="260" w:lineRule="auto"/>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260" w:lineRule="auto"/>
        <w:rPr>
          <w:rFonts w:hint="eastAsia" w:ascii="仿宋_GB2312" w:hAnsi="仿宋_GB2312" w:eastAsia="仿宋_GB2312"/>
          <w:sz w:val="32"/>
        </w:rPr>
      </w:pPr>
      <w:r>
        <w:rPr>
          <w:rFonts w:hint="eastAsia" w:ascii="仿宋_GB2312" w:hAnsi="仿宋_GB2312" w:eastAsia="仿宋_GB2312"/>
          <w:sz w:val="32"/>
        </w:rPr>
        <w:t xml:space="preserve">               2017年5月26日 </w:t>
      </w:r>
    </w:p>
    <w:p>
      <w:pPr>
        <w:spacing w:line="252" w:lineRule="auto"/>
        <w:rPr>
          <w:rFonts w:hint="eastAsia" w:ascii="仿宋_GB2312" w:hAnsi="仿宋_GB2312" w:eastAsia="仿宋_GB2312"/>
          <w:sz w:val="32"/>
        </w:rPr>
      </w:pPr>
    </w:p>
    <w:p>
      <w:pPr>
        <w:spacing w:line="252" w:lineRule="auto"/>
        <w:rPr>
          <w:rFonts w:hint="eastAsia" w:ascii="仿宋_GB2312" w:hAnsi="仿宋_GB2312" w:eastAsia="仿宋_GB2312"/>
          <w:sz w:val="32"/>
        </w:rPr>
      </w:pPr>
      <w:r>
        <w:rPr>
          <w:rFonts w:hint="eastAsia" w:ascii="仿宋_GB2312" w:hAnsi="仿宋_GB2312" w:eastAsia="仿宋_GB2312"/>
          <w:sz w:val="32"/>
        </w:rPr>
        <w:t xml:space="preserve">  </w:t>
      </w:r>
    </w:p>
    <w:p>
      <w:pPr>
        <w:spacing w:line="252" w:lineRule="auto"/>
        <w:rPr>
          <w:rFonts w:hint="eastAsia" w:ascii="仿宋_GB2312" w:hAnsi="仿宋_GB2312" w:eastAsia="仿宋_GB2312"/>
          <w:sz w:val="32"/>
        </w:rPr>
      </w:pPr>
    </w:p>
    <w:p>
      <w:pPr>
        <w:spacing w:line="252" w:lineRule="auto"/>
        <w:rPr>
          <w:rFonts w:hint="eastAsia" w:ascii="仿宋_GB2312" w:hAnsi="仿宋_GB2312" w:eastAsia="仿宋_GB2312"/>
          <w:sz w:val="32"/>
        </w:rPr>
      </w:pPr>
    </w:p>
    <w:p>
      <w:pPr>
        <w:spacing w:line="252" w:lineRule="auto"/>
        <w:rPr>
          <w:rFonts w:hint="eastAsia" w:ascii="仿宋_GB2312" w:hAnsi="仿宋_GB2312" w:eastAsia="仿宋_GB2312"/>
          <w:sz w:val="32"/>
        </w:rPr>
      </w:pPr>
    </w:p>
    <w:p>
      <w:pPr>
        <w:spacing w:line="252" w:lineRule="auto"/>
        <w:rPr>
          <w:rFonts w:hint="eastAsia" w:ascii="仿宋_GB2312" w:hAnsi="仿宋_GB2312" w:eastAsia="仿宋_GB2312"/>
          <w:sz w:val="32"/>
        </w:rPr>
      </w:pPr>
    </w:p>
    <w:p>
      <w:pPr>
        <w:spacing w:line="252" w:lineRule="auto"/>
        <w:ind w:firstLine="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虎林市土壤污染防治实施方案</w:t>
      </w:r>
    </w:p>
    <w:p>
      <w:pPr>
        <w:spacing w:line="252" w:lineRule="auto"/>
        <w:rPr>
          <w:rFonts w:hint="eastAsia" w:ascii="仿宋_GB2312" w:hAnsi="仿宋_GB2312" w:eastAsia="仿宋_GB2312"/>
          <w:sz w:val="32"/>
        </w:rPr>
      </w:pPr>
    </w:p>
    <w:p>
      <w:pPr>
        <w:spacing w:line="252" w:lineRule="auto"/>
        <w:rPr>
          <w:rFonts w:hint="eastAsia" w:ascii="仿宋_GB2312" w:hAnsi="仿宋_GB2312" w:eastAsia="仿宋_GB2312"/>
          <w:sz w:val="32"/>
        </w:rPr>
      </w:pPr>
      <w:r>
        <w:rPr>
          <w:rFonts w:hint="eastAsia" w:ascii="仿宋_GB2312" w:hAnsi="仿宋_GB2312" w:eastAsia="仿宋_GB2312"/>
          <w:sz w:val="32"/>
        </w:rPr>
        <w:t>为贯彻落实《鸡西市人民政府印发鸡西市土壤污染防治行动计划实施方案的通知》（鸡政规〔2017〕5号），切实加大土壤污染防治力度，改善土壤环境质量，保障土壤生态安全，结合我市实际，制定本实施方案。</w:t>
      </w:r>
    </w:p>
    <w:p>
      <w:pPr>
        <w:spacing w:line="252" w:lineRule="auto"/>
        <w:rPr>
          <w:rFonts w:hint="eastAsia" w:ascii="黑体" w:hAnsi="黑体" w:eastAsia="黑体"/>
          <w:sz w:val="32"/>
        </w:rPr>
      </w:pPr>
      <w:r>
        <w:rPr>
          <w:rFonts w:hint="eastAsia" w:ascii="黑体" w:hAnsi="黑体" w:eastAsia="黑体"/>
          <w:sz w:val="32"/>
        </w:rPr>
        <w:t>一、总体要求</w:t>
      </w:r>
    </w:p>
    <w:p>
      <w:pPr>
        <w:spacing w:line="252" w:lineRule="auto"/>
        <w:rPr>
          <w:rFonts w:hint="eastAsia" w:ascii="仿宋_GB2312" w:hAnsi="仿宋_GB2312" w:eastAsia="仿宋_GB2312"/>
          <w:sz w:val="32"/>
        </w:rPr>
      </w:pPr>
      <w:r>
        <w:rPr>
          <w:rFonts w:hint="eastAsia" w:ascii="仿宋_GB2312" w:hAnsi="仿宋_GB2312" w:eastAsia="仿宋_GB2312"/>
          <w:sz w:val="32"/>
        </w:rPr>
        <w:t>全面落实党的十八大以来国家、省、市关于生态文明建设和绿色发展系列部署及鸡西市委第十三次党代会、虎林市委第六次党代会精神，大力实施“生态+”发展战略，积极响应人民群众对土壤生态安全和公众健康的强烈诉求，从保障虎林生态安全、粮食安全和保护虎林整体生态化重大利益的角度，坚持预防为主、保护优先、风险管控，突出重点区域、行业和污染物，实施分类别、分用途、分阶段治理，严控新增污染、逐步减少存量，切实保障农产品质量和人居环境安全，强化土壤防治制度建设，形成政府主导、企业担责、公众配合、社会监督的土壤污染防治机制，不断改善土壤环境质量，促进土壤资源永续利用，全面推进生态宜居幸福虎林建设。</w:t>
      </w:r>
    </w:p>
    <w:p>
      <w:pPr>
        <w:spacing w:line="252" w:lineRule="auto"/>
        <w:rPr>
          <w:rFonts w:hint="eastAsia" w:ascii="黑体" w:hAnsi="黑体" w:eastAsia="黑体"/>
          <w:sz w:val="32"/>
        </w:rPr>
      </w:pPr>
      <w:r>
        <w:rPr>
          <w:rFonts w:hint="eastAsia" w:ascii="黑体" w:hAnsi="黑体" w:eastAsia="黑体"/>
          <w:sz w:val="32"/>
        </w:rPr>
        <w:t>二、工作目标</w:t>
      </w:r>
    </w:p>
    <w:p>
      <w:pPr>
        <w:spacing w:line="252" w:lineRule="auto"/>
        <w:rPr>
          <w:rFonts w:hint="eastAsia" w:ascii="楷体_GB2312" w:hAnsi="楷体_GB2312" w:eastAsia="楷体_GB2312"/>
          <w:sz w:val="32"/>
        </w:rPr>
      </w:pPr>
      <w:r>
        <w:rPr>
          <w:rFonts w:hint="eastAsia" w:ascii="楷体_GB2312" w:hAnsi="楷体_GB2312" w:eastAsia="楷体_GB2312"/>
          <w:sz w:val="32"/>
        </w:rPr>
        <w:t>（一）总体目标</w:t>
      </w:r>
    </w:p>
    <w:p>
      <w:pPr>
        <w:spacing w:line="252" w:lineRule="auto"/>
        <w:rPr>
          <w:rFonts w:hint="eastAsia" w:ascii="仿宋_GB2312" w:hAnsi="仿宋_GB2312" w:eastAsia="仿宋_GB2312"/>
          <w:sz w:val="32"/>
        </w:rPr>
      </w:pPr>
      <w:r>
        <w:rPr>
          <w:rFonts w:hint="eastAsia" w:ascii="仿宋_GB2312" w:hAnsi="仿宋_GB2312" w:eastAsia="仿宋_GB2312"/>
          <w:sz w:val="32"/>
        </w:rPr>
        <w:t>到2020年，全市土壤环境质量得到阶段性改善，农用地和建设用地土壤环境安全得到基本保障，土壤环境风险得到基本管控。到2030年，全市土壤环境质量稳中向好发展，农用地和建设用地土壤环境安全得到有效保障，土壤环境风险得到全面管控。到本世纪中叶，土壤环境质量全面改善，农产品质量和人居环境安全得到保障，实现经济社会发展与生态环境和谐共赢。</w:t>
      </w:r>
    </w:p>
    <w:p>
      <w:pPr>
        <w:spacing w:line="252" w:lineRule="auto"/>
        <w:rPr>
          <w:rFonts w:hint="eastAsia" w:ascii="楷体_GB2312" w:hAnsi="楷体_GB2312" w:eastAsia="楷体_GB2312"/>
          <w:sz w:val="32"/>
        </w:rPr>
      </w:pPr>
      <w:r>
        <w:rPr>
          <w:rFonts w:hint="eastAsia" w:ascii="楷体_GB2312" w:hAnsi="楷体_GB2312" w:eastAsia="楷体_GB2312"/>
          <w:sz w:val="32"/>
        </w:rPr>
        <w:t>（二）主要指标</w:t>
      </w:r>
    </w:p>
    <w:p>
      <w:pPr>
        <w:spacing w:line="252" w:lineRule="auto"/>
        <w:rPr>
          <w:rFonts w:hint="eastAsia" w:ascii="仿宋_GB2312" w:hAnsi="仿宋_GB2312" w:eastAsia="仿宋_GB2312"/>
          <w:sz w:val="32"/>
        </w:rPr>
      </w:pPr>
      <w:r>
        <w:rPr>
          <w:rFonts w:hint="eastAsia" w:ascii="仿宋_GB2312" w:hAnsi="仿宋_GB2312" w:eastAsia="仿宋_GB2312"/>
          <w:sz w:val="32"/>
        </w:rPr>
        <w:t>到2020年，全市受污染耕地安全利用率达到92％，污染地块安全利用率达到90％以上。到2030年，受污染耕地安全利用率、污染地块安全利用率稳定在95％以上。</w:t>
      </w:r>
    </w:p>
    <w:p>
      <w:pPr>
        <w:spacing w:line="252" w:lineRule="auto"/>
        <w:rPr>
          <w:rFonts w:hint="eastAsia" w:ascii="黑体" w:hAnsi="黑体" w:eastAsia="黑体"/>
          <w:sz w:val="32"/>
        </w:rPr>
      </w:pPr>
      <w:r>
        <w:rPr>
          <w:rFonts w:hint="eastAsia" w:ascii="黑体" w:hAnsi="黑体" w:eastAsia="黑体"/>
          <w:sz w:val="32"/>
        </w:rPr>
        <w:t>三、主要任务</w:t>
      </w:r>
    </w:p>
    <w:p>
      <w:pPr>
        <w:spacing w:line="252" w:lineRule="auto"/>
        <w:rPr>
          <w:rFonts w:hint="eastAsia" w:ascii="楷体_GB2312" w:hAnsi="楷体_GB2312" w:eastAsia="楷体_GB2312"/>
          <w:sz w:val="32"/>
        </w:rPr>
      </w:pPr>
      <w:r>
        <w:rPr>
          <w:rFonts w:hint="eastAsia" w:ascii="楷体_GB2312" w:hAnsi="楷体_GB2312" w:eastAsia="楷体_GB2312"/>
          <w:sz w:val="32"/>
        </w:rPr>
        <w:t>（一）开展土壤污染调查，掌握土壤环境质量状况</w:t>
      </w:r>
    </w:p>
    <w:p>
      <w:pPr>
        <w:spacing w:line="252" w:lineRule="auto"/>
        <w:rPr>
          <w:rFonts w:hint="eastAsia" w:ascii="仿宋_GB2312" w:hAnsi="仿宋_GB2312" w:eastAsia="仿宋_GB2312"/>
          <w:sz w:val="32"/>
        </w:rPr>
      </w:pPr>
      <w:r>
        <w:rPr>
          <w:rFonts w:hint="eastAsia" w:ascii="仿宋_GB2312" w:hAnsi="仿宋_GB2312" w:eastAsia="仿宋_GB2312"/>
          <w:sz w:val="32"/>
        </w:rPr>
        <w:t>1.深入开展土壤环境质量调查。制定虎林市土壤环境质量调查工作方案，开展技术指导、监督检查和成果审核。在开展土壤有关调查基础上，以农用地和重点行业企业用地为重点，开展土壤污染状况详查。2018年10月底前完成所辖区域农用地土壤污染的面积、分布及其对农产品质量影响的调查；2020年10月底前完成所辖区域重点行业企业用地中的污染地块分布及其环境风险情况的调查。对已经形成的污染，深入分析，采取有力措施制止、控制新增污染。建立土壤环境质量状况定期调查制度，每10年开展1次土壤环境质量调查。（市环保局牵头，市财政局、国土局、农业局、卫计局、各乡（镇）政府配合。以下均有各乡（镇）政府配合，不再列出）</w:t>
      </w:r>
    </w:p>
    <w:p>
      <w:pPr>
        <w:spacing w:line="252" w:lineRule="auto"/>
        <w:rPr>
          <w:rFonts w:hint="eastAsia" w:ascii="仿宋_GB2312" w:hAnsi="仿宋_GB2312" w:eastAsia="仿宋_GB2312"/>
          <w:sz w:val="32"/>
        </w:rPr>
      </w:pPr>
      <w:r>
        <w:rPr>
          <w:rFonts w:hint="eastAsia" w:ascii="仿宋_GB2312" w:hAnsi="仿宋_GB2312" w:eastAsia="仿宋_GB2312"/>
          <w:sz w:val="32"/>
        </w:rPr>
        <w:t>2.建设土壤环境质量监测网络。按照“统一规划、整合优化”的土壤环境质量监测点位设置原则，充分发挥环保、国土资源、农业等部门土壤监测网作用，2017年底前，配合上级部门完成本行政区域土壤环境质量国控监测点位设置和全市土壤环境质量监测网络建设，基本形成土壤环境监测能力。如不具备监测能力要发挥社会监测服务的作用。2020年底前，全市土壤环境质量监测点位实现全覆盖，基本满足域内土壤环境质量考核、评价与预警需求。（市环保局牵头，市国土局、农业局、工信局、粮食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3.提升土壤环境信息化管理水平。要借助省土壤环境信息化管理子平台建设，建立虎林市土壤环境基础数据库，实现环保、国土资源、农业等部门数据共享，发挥土壤环境大数据在污染防治、城乡规划、土地利用、农业生产中的作用。借助移动互联网、物联网等技术，拓宽数据获取渠道，实现数据动态更新。（市环保局、农业局、国土局牵头，市教育局、工信局、住建局、卫计局、林业局等配合）</w:t>
      </w:r>
    </w:p>
    <w:p>
      <w:pPr>
        <w:spacing w:line="252" w:lineRule="auto"/>
        <w:rPr>
          <w:rFonts w:hint="eastAsia" w:ascii="楷体_GB2312" w:hAnsi="楷体_GB2312" w:eastAsia="楷体_GB2312"/>
          <w:sz w:val="32"/>
        </w:rPr>
      </w:pPr>
      <w:r>
        <w:rPr>
          <w:rFonts w:hint="eastAsia" w:ascii="楷体_GB2312" w:hAnsi="楷体_GB2312" w:eastAsia="楷体_GB2312"/>
          <w:sz w:val="32"/>
        </w:rPr>
        <w:t>（二）依法依规，强化环境监管</w:t>
      </w:r>
    </w:p>
    <w:p>
      <w:pPr>
        <w:spacing w:line="252" w:lineRule="auto"/>
        <w:rPr>
          <w:rFonts w:hint="eastAsia" w:ascii="仿宋_GB2312" w:hAnsi="仿宋_GB2312" w:eastAsia="仿宋_GB2312"/>
          <w:sz w:val="32"/>
        </w:rPr>
      </w:pPr>
      <w:r>
        <w:rPr>
          <w:rFonts w:hint="eastAsia" w:ascii="仿宋_GB2312" w:hAnsi="仿宋_GB2312" w:eastAsia="仿宋_GB2312"/>
          <w:sz w:val="32"/>
        </w:rPr>
        <w:t>1.全面强化监管执法，明确监管重点。重点监测土壤中镉、汞、砷、铅、铬等重金属和多环芳烃、石油烃等有机污染物。重点监管城市建成区等区域。（市环保局牵头，市工信局、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加大执法力度。将土壤污染防治作为环境执法的重要内容，充分利用环境监管网格，加强土壤环境日常监管执法。环保、国土资源、农业、工信、公安等部门要密切配合，建立行政执法司法联动机制，严厉打击非法排放有毒有害污染物、违法违规存放危险化学品、非法运输危险化学品和危险废物及有毒有害物质、非法处置危险废物、非正常使用污染治理设施、监测数据弄虚作假等环境违法行为。涉嫌环境犯罪的案件一经发现，要及时移送、立案侦查，构成犯罪的依法追究刑事责任。开展重点行业企业专项环境执法，对严重污染土壤环境、群众反映强烈的企业进行挂牌督办。加强土壤环境执法能力的建设，提升环境执法人员土壤污染防治业务素质。改善基层环境执法条件，配备必要的土壤污染快速检测等执法装备。提高突发环境事件应急能力。2017年底前将土壤环境应急处置内容纳入各级环境污染事件应急预案，加强环境应急管理、技术支撑、处置救援能力建设。（市环保局牵头，市工信局、公安局、国土局、住建局、农业局、安监局、林业局等配合）</w:t>
      </w:r>
    </w:p>
    <w:p>
      <w:pPr>
        <w:spacing w:line="252" w:lineRule="auto"/>
        <w:rPr>
          <w:rFonts w:hint="eastAsia" w:ascii="楷体_GB2312" w:hAnsi="楷体_GB2312" w:eastAsia="楷体_GB2312"/>
          <w:sz w:val="32"/>
        </w:rPr>
      </w:pPr>
      <w:r>
        <w:rPr>
          <w:rFonts w:hint="eastAsia" w:ascii="楷体_GB2312" w:hAnsi="楷体_GB2312" w:eastAsia="楷体_GB2312"/>
          <w:sz w:val="32"/>
        </w:rPr>
        <w:t>（三）实施农用地分类管理，保障农业生产环境安全</w:t>
      </w:r>
    </w:p>
    <w:p>
      <w:pPr>
        <w:spacing w:line="252" w:lineRule="auto"/>
        <w:rPr>
          <w:rFonts w:hint="eastAsia" w:ascii="仿宋_GB2312" w:hAnsi="仿宋_GB2312" w:eastAsia="仿宋_GB2312"/>
          <w:sz w:val="32"/>
        </w:rPr>
      </w:pPr>
      <w:r>
        <w:rPr>
          <w:rFonts w:hint="eastAsia" w:ascii="仿宋_GB2312" w:hAnsi="仿宋_GB2312" w:eastAsia="仿宋_GB2312"/>
          <w:sz w:val="32"/>
        </w:rPr>
        <w:t>1.划定农用地土壤环境质量类别。依据《农用地土壤环境质量类别划分技术指南》及时限要求，开展土壤环境质量类别划定工作。按污染程度将农用地划为三个类别，一是优先保护类即未污染和轻微污染农用地，二是安全利用类即轻度和中度污染农用地，三是严格管控类即重度污染农用地。以耕地为重点，分别采取相应管理措施，保障农产品质量安全。以土壤污染状况详查结果为依据，开展耕地土壤和农产品协同监测与评价，有序推进耕地土壤环境质量类别划定，逐步建立分类清单。根据土地利用变更和土壤环境质量变化情况，定期对各类别耕地面积、分布等信息进行更新。林业、畜牧等部门要逐步开展林地、草地、园地及其他农用地土壤环境质量类别划定工作。到2020年底前，完成其他农用地土壤环境质量类别划定，编制分类清单，划定结果上传国家土壤环境信息化管理平台。（市农业局、环保局牵头，市国土局、林业局、畜牧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切实加大保护力度。要将符合条件的优先保护类耕地划为永久基本农田，实行严格保护，确保其面积不减少、土壤环境质量不下降，除法律规定的重点建设项目选址确实无法避让外，其他任何建设不得占用。要制定土壤环境保护方案。推行秸秆还田、增施有机肥、少耕、粮豆轮作、农膜减量与回收利用等措施。</w:t>
      </w:r>
    </w:p>
    <w:p>
      <w:pPr>
        <w:spacing w:line="252" w:lineRule="auto"/>
        <w:rPr>
          <w:rFonts w:hint="eastAsia" w:ascii="仿宋_GB2312" w:hAnsi="仿宋_GB2312" w:eastAsia="仿宋_GB2312"/>
          <w:sz w:val="32"/>
        </w:rPr>
      </w:pPr>
      <w:r>
        <w:rPr>
          <w:rFonts w:hint="eastAsia" w:ascii="仿宋_GB2312" w:hAnsi="仿宋_GB2312" w:eastAsia="仿宋_GB2312"/>
          <w:sz w:val="32"/>
        </w:rPr>
        <w:t>适时开展黑土保护利用，提高耕地地力、土壤有机质含量，农作物秸秆和畜禽粪便等有机肥资源利用率明显提高。农村土地流转的受让方要履行土壤保护的责任，避免因只用地不养地等掠夺式农业生产方式以及过量施肥、滥用农药等造成土壤环境质量下降。（市国土局、农业局牵头，市财政局、发改局、环保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防控企业污染。严格控制在优先保护类耕地集中区域新建有色金属冶炼、石油加工、化工、焦化、电镀、制革等行业企业。（市环保局牵头，市发改局、工信局配合）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3.着力推进安全利用。根据土壤污染状况和农产品超标情况，要结合当地主要作物品种和种植习惯，制定实施受污染耕地安全利用方案，采取农艺调控、替代种植等措施，降低农产品超标风险。强化农产品质量检测。加强对农民、农民合作社的技术指导和培训。到2020年，完成国家下达的受污染耕地安全利用指标。（市农业局牵头，市国土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4.全面落实严格管控。加强对严格管控类耕地的用途管理，依法划定特定农产品禁止生产区域，严禁种植食用农产品；对威胁地下水、饮用水水源安全的，要制定环境风险管控方案，并落实有关措施。对纳入国家新一轮退耕还林还草实施范围的严格管控类耕地，要制定退耕还林还草计划。实行耕地轮作制度。到2020年，完成国家要求的重度污染耕地种植结构调整或退耕还林还草面积指标。（市农业局牵头，市国土局、畜牧局、林业局、水务局、发改局、财政局、环保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5.加强林地、草地、园地土壤环境管理。严格控制林地、草地、园地的农药使用量，禁止使用高毒、高残留农药。提倡生物农药、引诱剂的使用，加大使用推广力度。（市林业局、畜牧局、农业局牵头）</w:t>
      </w:r>
    </w:p>
    <w:p>
      <w:pPr>
        <w:spacing w:line="252" w:lineRule="auto"/>
        <w:rPr>
          <w:rFonts w:hint="eastAsia" w:ascii="楷体_GB2312" w:hAnsi="楷体_GB2312" w:eastAsia="楷体_GB2312"/>
          <w:sz w:val="32"/>
        </w:rPr>
      </w:pPr>
      <w:r>
        <w:rPr>
          <w:rFonts w:hint="eastAsia" w:ascii="楷体_GB2312" w:hAnsi="楷体_GB2312" w:eastAsia="楷体_GB2312"/>
          <w:sz w:val="32"/>
        </w:rPr>
        <w:t>（四）实施建设用地准入管理，防范人居环境风险</w:t>
      </w:r>
    </w:p>
    <w:p>
      <w:pPr>
        <w:spacing w:line="252" w:lineRule="auto"/>
        <w:rPr>
          <w:rFonts w:hint="eastAsia" w:ascii="仿宋_GB2312" w:hAnsi="仿宋_GB2312" w:eastAsia="仿宋_GB2312"/>
          <w:sz w:val="32"/>
        </w:rPr>
      </w:pPr>
      <w:r>
        <w:rPr>
          <w:rFonts w:hint="eastAsia" w:ascii="仿宋_GB2312" w:hAnsi="仿宋_GB2312" w:eastAsia="仿宋_GB2312"/>
          <w:sz w:val="32"/>
        </w:rPr>
        <w:t>1.明确管理要求，建立调查评估制度。依据《建设用地土壤环境调查评估技术》规定，自2018年起，重度污染农用地转为城镇建设用地的，要开展调查评估。调查评估结果向市环保局、市住建局、市国土局备案。（市环保局牵头，市国土局、住建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分用途明确管理措施。自2017年起，要结合土壤污染状况详查情况，根据建设用地土壤环境调查评估结果，逐步建立污染地块名录及其开发利用的负面清单，合理确定土地用途。符合相应规划用地土壤环境质量要求的地块，可进入用地程序。暂不开发利用或现阶段不具备治理修复条件的污染地块，将划定管控区域，设立标识，发布公告，开展土壤、地表水、地下水、空气环境监测；发现污染扩散的，要及时采取污染物隔离、阻断等环境风险管控措施。（市国土局牵头，市环保局、住建局、水务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落实监管责任。市住建局要结合土壤环境质量状况，加强城乡规划论证和审批管理。市国土局要依据土地利用总体规划、城乡规划和地块土壤环境质量状况，加强土地征收、收回、收购以及转让、改变用途等环节的监管。市环保局要加强对建设用地土壤环境状况调查、风险评估和污染地块治理与修复活动的监管。建立住建、国土资源、环保等部门的信息沟通机制，实行联动监管。（市住建局、国土局、环保局牵头）</w:t>
      </w:r>
    </w:p>
    <w:p>
      <w:pPr>
        <w:spacing w:line="252" w:lineRule="auto"/>
        <w:rPr>
          <w:rFonts w:hint="eastAsia" w:ascii="仿宋_GB2312" w:hAnsi="仿宋_GB2312" w:eastAsia="仿宋_GB2312"/>
          <w:sz w:val="32"/>
        </w:rPr>
      </w:pPr>
      <w:r>
        <w:rPr>
          <w:rFonts w:hint="eastAsia" w:ascii="仿宋_GB2312" w:hAnsi="仿宋_GB2312" w:eastAsia="仿宋_GB2312"/>
          <w:sz w:val="32"/>
        </w:rPr>
        <w:t>3.严格用地准入。将建设用地土壤环境管理要求纳入城市规划和供地管理，土地开发利用必须符合土壤环境质量要求。在编制土地利用总体规划、城市总体规划、控制性详细规划等相关规划时，应充分考虑污染地块的环境风险，合理确定土地用途。（市国土局、住建局牵头，市环保局配合）</w:t>
      </w:r>
    </w:p>
    <w:p>
      <w:pPr>
        <w:spacing w:line="252" w:lineRule="auto"/>
        <w:rPr>
          <w:rFonts w:hint="eastAsia" w:ascii="楷体_GB2312" w:hAnsi="楷体_GB2312" w:eastAsia="楷体_GB2312"/>
          <w:sz w:val="32"/>
        </w:rPr>
      </w:pPr>
      <w:r>
        <w:rPr>
          <w:rFonts w:hint="eastAsia" w:ascii="楷体_GB2312" w:hAnsi="楷体_GB2312" w:eastAsia="楷体_GB2312"/>
          <w:sz w:val="32"/>
        </w:rPr>
        <w:t>（五）强化未污染土壤保护，严控新增土壤污染</w:t>
      </w:r>
    </w:p>
    <w:p>
      <w:pPr>
        <w:spacing w:line="252" w:lineRule="auto"/>
        <w:rPr>
          <w:rFonts w:hint="eastAsia" w:ascii="仿宋_GB2312" w:hAnsi="仿宋_GB2312" w:eastAsia="仿宋_GB2312"/>
          <w:sz w:val="32"/>
        </w:rPr>
      </w:pPr>
      <w:r>
        <w:rPr>
          <w:rFonts w:hint="eastAsia" w:ascii="仿宋_GB2312" w:hAnsi="仿宋_GB2312" w:eastAsia="仿宋_GB2312"/>
          <w:sz w:val="32"/>
        </w:rPr>
        <w:t>1.加强未利用地环境管理。按照科学有序原则开发利用未利用地，防止造成土壤污染。拟开发为农用地的，要组织开展土壤环境质量状况评估；不符合相应标准的，不得种植食用农产品。加强纳入耕地后备资源的未利用地保护，定期开展巡查。依法严查非法排污、倾倒有毒有害物质的环境违法行为。加强对矿产资源开采活动影响区域内未利用地的环境监管，发现土壤污染问题的，要及时督促有关企业采取防治措施。（市环保局、国土局牵头，市公安局、水务局、农业局、林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防范建设用地新增污染。排放重点污染物的建设项目，在开展环境影响评价时，要增加对土壤环境影响的评价内容，并提出防范土壤污染的具体措施；需要建设的土壤污染防治设施，要与主体工程同时设计、同时施工、同时投产使用；市环保局要做好有关措施落实情况的监督管理工作。自2017年起，市政府要与重点行业企业签订土壤污染防治责任书，明确相关措施和责任，责任书向社会公开。（市环保局牵头负责）</w:t>
      </w:r>
    </w:p>
    <w:p>
      <w:pPr>
        <w:spacing w:line="252" w:lineRule="auto"/>
        <w:rPr>
          <w:rFonts w:hint="eastAsia" w:ascii="仿宋_GB2312" w:hAnsi="仿宋_GB2312" w:eastAsia="仿宋_GB2312"/>
          <w:sz w:val="32"/>
        </w:rPr>
      </w:pPr>
      <w:r>
        <w:rPr>
          <w:rFonts w:hint="eastAsia" w:ascii="仿宋_GB2312" w:hAnsi="仿宋_GB2312" w:eastAsia="仿宋_GB2312"/>
          <w:sz w:val="32"/>
        </w:rPr>
        <w:t>3.强化空间布局管控。加强规划区划和建设项目布局论证，严格执行相关行业企业布局选址要求。鼓励工业企业集聚发展，提高土地节约集约利用水平，减少土壤污染。禁止在居民区、学校、医疗和养老机构等周边新建有色金属冶炼、焦化等行业企业；结合推进新型城镇化、产业结构调整和化解过剩产能等，有序搬迁或依法关闭对土壤造成严重污染的现有企业。结合区域功能定位和土壤污染防治需要，科学布局生活垃圾处理、危险废物处置、废旧资源再生利用等设施和场所，按集约化、产业化、利于监管原则，推进再生资源产业园区建设，合理确定畜禽养殖布局和规模。（市发改局、工信局、国土局、环保局牵头，市住建局、水务局、农业局、林业局、畜牧局等配合）</w:t>
      </w:r>
    </w:p>
    <w:p>
      <w:pPr>
        <w:spacing w:line="252" w:lineRule="auto"/>
        <w:rPr>
          <w:rFonts w:hint="eastAsia" w:ascii="楷体_GB2312" w:hAnsi="楷体_GB2312" w:eastAsia="楷体_GB2312"/>
          <w:sz w:val="32"/>
        </w:rPr>
      </w:pPr>
      <w:r>
        <w:rPr>
          <w:rFonts w:hint="eastAsia" w:ascii="楷体_GB2312" w:hAnsi="楷体_GB2312" w:eastAsia="楷体_GB2312"/>
          <w:sz w:val="32"/>
        </w:rPr>
        <w:t>（六）加强污染源监管，做好土壤污染预防工作</w:t>
      </w:r>
    </w:p>
    <w:p>
      <w:pPr>
        <w:spacing w:line="252" w:lineRule="auto"/>
        <w:rPr>
          <w:rFonts w:hint="eastAsia" w:ascii="仿宋_GB2312" w:hAnsi="仿宋_GB2312" w:eastAsia="仿宋_GB2312"/>
          <w:sz w:val="32"/>
        </w:rPr>
      </w:pPr>
      <w:r>
        <w:rPr>
          <w:rFonts w:hint="eastAsia" w:ascii="仿宋_GB2312" w:hAnsi="仿宋_GB2312" w:eastAsia="仿宋_GB2312"/>
          <w:sz w:val="32"/>
        </w:rPr>
        <w:t>1.严控工矿污染。加强日常环境监管。市环保局要定期对土壤环境重点监管企业和工业园区周边开展监测，数据及时上传土壤环境信息化管理平台，结果作为环境执法和风险预警的重要依据。加强监管重污染企业。（市环保局、工信局负责）</w:t>
      </w:r>
    </w:p>
    <w:p>
      <w:pPr>
        <w:spacing w:line="252" w:lineRule="auto"/>
        <w:rPr>
          <w:rFonts w:hint="eastAsia" w:ascii="仿宋_GB2312" w:hAnsi="仿宋_GB2312" w:eastAsia="仿宋_GB2312"/>
          <w:sz w:val="32"/>
        </w:rPr>
      </w:pPr>
      <w:r>
        <w:rPr>
          <w:rFonts w:hint="eastAsia" w:ascii="仿宋_GB2312" w:hAnsi="仿宋_GB2312" w:eastAsia="仿宋_GB2312"/>
          <w:sz w:val="32"/>
        </w:rPr>
        <w:t>严防矿产资源开发污染土壤。全面整治历史遗留尾矿库，完善覆膜、压土、排洪、堤坝加固等隐患治理和闭库措施。列为重点监管尾矿库的企业要开展环境风险评估，完善污染治理设施，储备应急物资。加强对矿产资源开发利用活动的辐射安全监管，有关企业每年要对本矿区土壤进行辐射环境监测，同时重点监测无机污染物镉、铜、汞、锰、镍、钒及有机污染物多环芳烃、多氯联苯等。（市环保局、安监局牵头，市工信局、国土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加强工业废物处理处置。全面整治工业固体废物的堆存场所和废弃垃圾填埋场，完善防扬散、防流失、防渗漏等设施，制定整治方案并有序实施。加强工业固体废物综合利用。对电子废物、废轮胎、废塑料等再生利用活动进行清理整顿，防止污染土壤和地下水。（市环保局牵头，市发改局、工信局、国土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2.控制农业污染。合理使用化肥农药。鼓励农民增施有机肥，减少化肥使用量。科学施用农药，推行农作物病虫害专业化统防统治和绿色防控，推广高效低毒低残留农药和现代植保机械。加强农药包装废弃物回收处理。推行农业清洁生产，开展农业废弃物资源化利用，推广农业面源污染防治技术新模式。严禁将城镇生活垃圾、污泥、工业废物直接用作肥料。到2020年，全市化肥亩均用量降到10千克（折纯）以下，除草剂使用量减少20％，杀虫杀菌剂与同等发生年份相比减少30％。测土配方施肥技术覆盖率达到80％以上。（市农业局牵头，市环保局、住建局、供销联社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加强废弃农膜回收利用。严厉打击违法生产和销售不合格农膜的行为。建立健全废弃农膜回收贮运和综合利用网络，开展废弃农膜回收利用。到2020年，废旧农膜回收率达到80％以上。（市农业局牵头，市发改局、工信局、公安局、市监局、供销联社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强化畜禽养殖污染防治。严格规范兽药、饲料添加剂的生产和使用，防止过量使用，促进源头减量。加强畜禽粪便综合利用。鼓励支持畜禽粪便处理利用设施建设，到2020年，规模化养殖场、养殖小区配套建设废弃物处理设施比例达到75％以上。（市畜牧局牵头，市发改局、环保局、农业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加强灌溉水水质管理。开展灌溉水水质监测。灌溉用水应符合农田灌溉水水质标准。对因长期使用污水灌溉导致土壤污染严重、威胁农产品质量安全的，要及时调整种植结构。（市水务局牵头，市农业局、环保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3.减少生活污染。建立政府、社区、企业和居民协调机制，通过分类投放收集、综合循环利用，促进垃圾减量化、资源化、无害化。建立村庄保洁制度，推进农村生活垃圾治理，实施农村生活污水治理工程。整治非正规垃圾填埋场。鼓励将处理达标后的污泥用于园林绿化、生态修复。开展建筑垃圾生产建材产品等资源化利用示范。强化废氧化汞电池、镍镉电池、铅酸蓄电池和含汞荧光灯管、温度计等含重金属废物的安全处置。减少过度包装，鼓励使用环境标志产品。（市住建局牵头，市发改局、工信局、财政局、环保局配合）</w:t>
      </w:r>
    </w:p>
    <w:p>
      <w:pPr>
        <w:spacing w:line="252" w:lineRule="auto"/>
        <w:rPr>
          <w:rFonts w:hint="eastAsia" w:ascii="楷体_GB2312" w:hAnsi="楷体_GB2312" w:eastAsia="楷体_GB2312"/>
          <w:sz w:val="32"/>
        </w:rPr>
      </w:pPr>
      <w:r>
        <w:rPr>
          <w:rFonts w:hint="eastAsia" w:ascii="楷体_GB2312" w:hAnsi="楷体_GB2312" w:eastAsia="楷体_GB2312"/>
          <w:sz w:val="32"/>
        </w:rPr>
        <w:t>（七）开展污染治理与修复，改善区域土壤环境质量</w:t>
      </w:r>
    </w:p>
    <w:p>
      <w:pPr>
        <w:spacing w:line="252" w:lineRule="auto"/>
        <w:rPr>
          <w:rFonts w:hint="eastAsia" w:ascii="仿宋_GB2312" w:hAnsi="仿宋_GB2312" w:eastAsia="仿宋_GB2312"/>
          <w:sz w:val="32"/>
        </w:rPr>
      </w:pPr>
      <w:r>
        <w:rPr>
          <w:rFonts w:hint="eastAsia" w:ascii="仿宋_GB2312" w:hAnsi="仿宋_GB2312" w:eastAsia="仿宋_GB2312"/>
          <w:sz w:val="32"/>
        </w:rPr>
        <w:t>1.明确治理与修复主体。按照“谁损害，谁担责”原则，造成土壤污染的单位或个人要承担治理与修复的主体责任。责任主体发生变更的，由变更后继承其债权、债务的单位或个人承担相关责任；土地使用权依法转让的，由土地使用权受让人或双方约定的责任人承担相关责任。责任主体灭失或责任主体不明确的，由所在地政府依法承担相关责任。（市环保局牵头，市国土局、住建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2.制定治理与修复规划。以影响农产品质量和人居环境安全的突出土壤污染问题为重点，采用轮作、法制、生态保护等科技手段，适时合理制定土壤污染治理与修复规划，明确重点任务、责任单位和分年度实施计划，建立项目库，并报上级环保部门备案。（市环保局牵头，市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3.有序开展治理与修复。确定治理与修复重点。要根据耕地土壤污染程度、环境风险及其影响范围，确定治理与修复的重点区域。通过治理修复技术的应用推广，到2020年12月底，完成国家确定的受污染耕地治理与修复指标。（市国土局、农业局、环保局牵头，市住建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强化治理与修复工程监管。治理与修复工程原则上在原址进行，并采取必要措施防止污染土壤挖掘、堆存等造成二次污染；需要转运污染土壤的，有关责任单位要将运输时间、方式、线路和污染土壤数量、去向、最终处置措施等，提前向市环保局和接收地的环保部门报告。工程施工期间，责任单位要设立公告牌，公开工程基本情况、环境影响及其防范措施；市环保局要对各项环境保护措施落实情况进行检查。工程完工后，责任单位要委托第三方机构对治理与修复效果进行评估，结果向社会公开。实行土壤污染治理与修复终身责任制。（市环保局牵头，市国土局、住建局、农业局配合）</w:t>
      </w:r>
    </w:p>
    <w:p>
      <w:pPr>
        <w:spacing w:line="252" w:lineRule="auto"/>
        <w:rPr>
          <w:rFonts w:hint="eastAsia" w:ascii="楷体_GB2312" w:hAnsi="楷体_GB2312" w:eastAsia="楷体_GB2312"/>
          <w:sz w:val="32"/>
        </w:rPr>
      </w:pPr>
      <w:r>
        <w:rPr>
          <w:rFonts w:hint="eastAsia" w:ascii="楷体_GB2312" w:hAnsi="楷体_GB2312" w:eastAsia="楷体_GB2312"/>
          <w:sz w:val="32"/>
        </w:rPr>
        <w:t>（八）发挥政府主导作用，构建土壤环境治理体系</w:t>
      </w:r>
    </w:p>
    <w:p>
      <w:pPr>
        <w:spacing w:line="252" w:lineRule="auto"/>
        <w:rPr>
          <w:rFonts w:hint="eastAsia" w:ascii="仿宋_GB2312" w:hAnsi="仿宋_GB2312" w:eastAsia="仿宋_GB2312"/>
          <w:sz w:val="32"/>
        </w:rPr>
      </w:pPr>
      <w:r>
        <w:rPr>
          <w:rFonts w:hint="eastAsia" w:ascii="仿宋_GB2312" w:hAnsi="仿宋_GB2312" w:eastAsia="仿宋_GB2312"/>
          <w:sz w:val="32"/>
        </w:rPr>
        <w:t>1.强化政府主导。完善土壤环境管理体制，全面落实土壤污染防治属地责任。探索建立跨行政区域土壤污染防治联动协作机制。（市环保局牵头，市发改局、工信局、财政局、国土局、住建局、农业局等配合）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加大财政投入。加大对土壤污染防治工作的支持力度。积极争取土壤污染防治专项资金，用于土壤环境调查与监测评估、监督管理、治理与修复等工作。统筹安排专项建设基金，支持企业对涉重金属落后生产工艺和设备进行技术改造。（市财政局牵头，市发改局、工信局、国土局、环保局、水务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完善激励政策。要采取有效措施，激励相关企业配合土壤污染治理与修复。贯彻落实国家扶持有机肥生产、废弃农膜综合利用、农药包装废弃物回收处理等企业的有关政策要求。在农药、化肥等行业，积极争取国家环保领跑者制度试点项目。（市财政局牵头，市发改局、工信局、国土局、环保局、住建局、农业局、地税局、供销联社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发挥市场作用。通过政府和社会资本合作（ＰＰＰ）模式，发挥政府投资和财政资金撬动功能，带动更多社会资本配合土壤污染防治。加大政府购买服务力度，推动受污染耕地和以政府为责任主体的污染地块治理与修复。积极发展绿色金融，发挥政策性和开发性金融机构引导作用，为重大土壤污染防治项目提供支持。（市金融办、环保局牵头，市财政局、发改局、人民银行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3.加强社会监督。推进信息公开。定期公布全市土壤环境状况。重点行业企业要依据有关规定，向社会公开其产生的污染物名称、排放方式、排放浓度、排放总量，以及污染防治设施建设和运行情况。（市环保局牵头，市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引导公众配合。鼓励公众通过“12369”环保举报热线、信函、电子邮件、政府网站、微信平台等途径，对乱排废水、废气，乱倒废渣、污泥等污染土壤的环境违法行为进行监督。有条件的乡镇可根据需要聘请环境保护义务监督员。鼓励种粮大户、家庭农场、农民合作社以及民间环境保护机构配合土壤污染防治工作。（市环保局牵头，市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4.开展宣传教育。制定土壤环境保护宣传教育工作方案。制作挂图、视频，利用互联网、数字化放映平台等手段，结合世界地球日、世界环境日、世界土壤日、世界粮食日、全国土地日等主题宣传活动，普及土壤污染防治相关知识，加强法律法规政策宣传解读，营造保护土壤环境的良好社会氛围，推动形成绿色发展方式和生活方式。把土壤环境保护宣传教育融入党政机关、学校、工厂、社区、农村等的环境宣传和培训工作。（市环保局牵头，市委宣传部、市教育局、国土局、住建局、农业局、文广体局等配合）</w:t>
      </w:r>
    </w:p>
    <w:p>
      <w:pPr>
        <w:spacing w:line="252" w:lineRule="auto"/>
        <w:rPr>
          <w:rFonts w:hint="eastAsia" w:ascii="楷体_GB2312" w:hAnsi="楷体_GB2312" w:eastAsia="楷体_GB2312"/>
          <w:sz w:val="32"/>
        </w:rPr>
      </w:pPr>
      <w:r>
        <w:rPr>
          <w:rFonts w:hint="eastAsia" w:ascii="楷体_GB2312" w:hAnsi="楷体_GB2312" w:eastAsia="楷体_GB2312"/>
          <w:sz w:val="32"/>
        </w:rPr>
        <w:t>（九）加强目标考核，严格责任追究</w:t>
      </w:r>
    </w:p>
    <w:p>
      <w:pPr>
        <w:spacing w:line="252" w:lineRule="auto"/>
        <w:rPr>
          <w:rFonts w:hint="eastAsia" w:ascii="仿宋_GB2312" w:hAnsi="仿宋_GB2312" w:eastAsia="仿宋_GB2312"/>
          <w:sz w:val="32"/>
        </w:rPr>
      </w:pPr>
      <w:r>
        <w:rPr>
          <w:rFonts w:hint="eastAsia" w:ascii="仿宋_GB2312" w:hAnsi="仿宋_GB2312" w:eastAsia="仿宋_GB2312"/>
          <w:sz w:val="32"/>
        </w:rPr>
        <w:t>1.明确政府主体责任。各乡镇政府是实施本方案的主体。要加强组织领导，完善政策措施，加大资金投入，创新投融资模式，强化监督管理，抓好工作落实。（市环保局牵头，市发改局、财政局、国土局、住建局、农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2.加强部门协调联动。建立全市土壤污染防治工作协调机制，定期研究解决重大问题。各有关部门要按照职责分工，协同做好土壤污染防治工作。市环保局要抓好统筹协调，加强督促检查，做好汇总上报工作。（市环保局牵头，市发改局、工信局、财政局、国土局、住建局、水务局、农业局、林业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3.落实企业责任。有关企业要加强内部管理，将土壤污染防治纳入环境风险防控体系，严格依法依规建设和运营污染治理设施，确保重点污染物稳定达标排放。造成土壤污染的，应承担损害评估、治理与修复的法律责任。逐步建立土壤污染治理与修复企业行业自律机制。（市环保局牵头，市工信局等配合）</w:t>
      </w:r>
    </w:p>
    <w:p>
      <w:pPr>
        <w:spacing w:line="252" w:lineRule="auto"/>
        <w:rPr>
          <w:rFonts w:hint="eastAsia" w:ascii="仿宋_GB2312" w:hAnsi="仿宋_GB2312" w:eastAsia="仿宋_GB2312"/>
          <w:sz w:val="32"/>
        </w:rPr>
      </w:pPr>
      <w:r>
        <w:rPr>
          <w:rFonts w:hint="eastAsia" w:ascii="仿宋_GB2312" w:hAnsi="仿宋_GB2312" w:eastAsia="仿宋_GB2312"/>
          <w:sz w:val="32"/>
        </w:rPr>
        <w:t>4.严格评估考核。实行目标责任制。根据鸡西市政府与虎林市政府签订的土壤污染防治目标责任书，分解落实目标任务。市政府将对土壤污染防治工作目标任务完成情况进行考核、评估，并将结果作为对领导班子和领导干部综合考核评价、自然资源资产离任审计的重要依据。（市环保局牵头，市委组织部、市审计局、国土局配合）</w:t>
      </w:r>
    </w:p>
    <w:p>
      <w:pPr>
        <w:spacing w:line="252" w:lineRule="auto"/>
        <w:rPr>
          <w:rFonts w:hint="eastAsia" w:ascii="仿宋_GB2312" w:hAnsi="仿宋_GB2312" w:eastAsia="仿宋_GB2312"/>
          <w:sz w:val="32"/>
        </w:rPr>
      </w:pPr>
      <w:r>
        <w:rPr>
          <w:rFonts w:hint="eastAsia" w:ascii="仿宋_GB2312" w:hAnsi="仿宋_GB2312" w:eastAsia="仿宋_GB2312"/>
          <w:sz w:val="32"/>
        </w:rPr>
        <w:t>对年度评估结果较差或未通过考核的部门、单位，要提出限期整改意见，整改不到位的，要约谈相关部门、单位负责人。对土壤环境问题突出、区域土壤环境质量明显下降、新增土壤污染、防治工作不力、群众反映强烈的乡镇政府，要约谈乡镇政府主要负责人。对失职渎职、弄虚作假的，区分情节轻重，予以诫勉、责令公开道歉、组织处理或党纪政纪处分；对构成犯罪的，要依法追究刑事责任，已经调离、提拔或者退休的，也要终身追究责任。（市环保局牵头，市委组织部、市纪委、市监察局配合）</w:t>
      </w:r>
    </w:p>
    <w:p>
      <w:pPr>
        <w:spacing w:line="252" w:lineRule="auto"/>
        <w:ind w:firstLine="0"/>
        <w:rPr>
          <w:rFonts w:hint="eastAsia" w:eastAsia="方正小标宋简体"/>
          <w:sz w:val="32"/>
          <w:u w:val="single" w:color="auto"/>
        </w:rPr>
      </w:pPr>
      <w:r>
        <w:rPr>
          <w:rFonts w:hint="eastAsia" w:eastAsia="方正小标宋简体"/>
          <w:sz w:val="32"/>
          <w:u w:val="single" w:color="auto"/>
        </w:rPr>
        <w:t xml:space="preserve">                                                         </w:t>
      </w:r>
    </w:p>
    <w:p>
      <w:pPr>
        <w:spacing w:line="252" w:lineRule="auto"/>
        <w:ind w:firstLine="0" w:firstLineChars="0"/>
        <w:rPr>
          <w:rFonts w:hint="eastAsia" w:ascii="仿宋_GB2312" w:hAnsi="仿宋_GB2312" w:eastAsia="仿宋_GB2312"/>
          <w:sz w:val="28"/>
        </w:rPr>
      </w:pPr>
      <w:r>
        <w:rPr>
          <w:rFonts w:hint="eastAsia" w:ascii="仿宋_GB2312" w:hAnsi="仿宋_GB2312" w:eastAsia="仿宋_GB2312"/>
          <w:sz w:val="28"/>
        </w:rPr>
        <w:t xml:space="preserve"> 抄送：市委办。</w:t>
      </w:r>
    </w:p>
    <w:p>
      <w:pPr>
        <w:spacing w:line="252" w:lineRule="auto"/>
        <w:ind w:firstLine="0" w:firstLineChars="0"/>
        <w:rPr>
          <w:rFonts w:hint="eastAsia" w:ascii="仿宋_GB2312" w:hAnsi="仿宋_GB2312" w:eastAsia="仿宋_GB2312"/>
          <w:sz w:val="28"/>
          <w:u w:val="single" w:color="auto"/>
        </w:rPr>
      </w:pPr>
      <w:r>
        <w:rPr>
          <w:rFonts w:hint="eastAsia" w:eastAsia="方正小标宋简体"/>
          <w:sz w:val="28"/>
          <w:u w:val="single" w:color="auto"/>
        </w:rPr>
        <w:t xml:space="preserve"> </w:t>
      </w:r>
      <w:r>
        <w:rPr>
          <w:rFonts w:hint="eastAsia" w:eastAsia="仿宋_GB2312"/>
          <w:sz w:val="28"/>
          <w:u w:val="single" w:color="auto"/>
        </w:rPr>
        <w:t xml:space="preserve">       </w:t>
      </w:r>
      <w:r>
        <w:rPr>
          <w:rFonts w:hint="eastAsia" w:ascii="仿宋_GB2312" w:hAnsi="仿宋_GB2312" w:eastAsia="仿宋_GB2312"/>
          <w:sz w:val="28"/>
          <w:u w:val="single" w:color="auto"/>
        </w:rPr>
        <w:t xml:space="preserve">市人大办、市政协办、市法院、市检察院。         </w:t>
      </w:r>
    </w:p>
    <w:p>
      <w:pPr>
        <w:spacing w:line="252" w:lineRule="auto"/>
        <w:ind w:firstLine="0" w:firstLineChars="0"/>
        <w:rPr>
          <w:rFonts w:hint="eastAsia" w:ascii="仿宋_GB2312" w:hAnsi="仿宋_GB2312" w:eastAsia="仿宋_GB2312"/>
          <w:sz w:val="28"/>
          <w:u w:val="single" w:color="auto"/>
        </w:rPr>
      </w:pPr>
      <w:r>
        <w:rPr>
          <w:rFonts w:hint="eastAsia" w:ascii="仿宋_GB2312" w:hAnsi="仿宋_GB2312" w:eastAsia="仿宋_GB2312"/>
          <w:sz w:val="28"/>
          <w:u w:val="single" w:color="auto"/>
        </w:rPr>
        <w:t xml:space="preserve"> 虎林市人民政府办公室 </w:t>
      </w:r>
      <w:r>
        <w:rPr>
          <w:rFonts w:hint="eastAsia" w:eastAsia="仿宋_GB2312"/>
          <w:sz w:val="28"/>
          <w:u w:val="single" w:color="auto"/>
        </w:rPr>
        <w:t xml:space="preserve">                </w:t>
      </w:r>
      <w:r>
        <w:rPr>
          <w:rFonts w:hint="eastAsia" w:ascii="仿宋_GB2312" w:hAnsi="仿宋_GB2312" w:eastAsia="仿宋_GB2312"/>
          <w:sz w:val="28"/>
          <w:u w:val="single" w:color="auto"/>
        </w:rPr>
        <w:t xml:space="preserve">   2017年5月26日印发 </w:t>
      </w:r>
    </w:p>
    <w:p>
      <w:pPr>
        <w:spacing w:line="252" w:lineRule="auto"/>
        <w:jc w:val="right"/>
        <w:rPr>
          <w:rFonts w:hint="eastAsia" w:eastAsia="仿宋_GB2312"/>
          <w:sz w:val="28"/>
        </w:rPr>
      </w:pPr>
      <w:r>
        <w:rPr>
          <w:rFonts w:hint="eastAsia" w:ascii="仿宋_GB2312" w:hAnsi="仿宋_GB2312" w:eastAsia="仿宋_GB2312"/>
          <w:sz w:val="28"/>
        </w:rPr>
        <w:t>共印50份</w:t>
      </w:r>
      <w:r>
        <w:rPr>
          <w:rFonts w:hint="eastAsia" w:eastAsia="仿宋_GB2312"/>
          <w:sz w:val="28"/>
        </w:rPr>
        <w:t>。</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2040" w:right="1474" w:bottom="1417" w:left="1474"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87695"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87695" cy="179705"/>
                      </a:xfrm>
                      <a:prstGeom prst="rect">
                        <a:avLst/>
                      </a:prstGeom>
                      <a:noFill/>
                      <a:ln w="7200">
                        <a:noFill/>
                      </a:ln>
                    </wps:spPr>
                    <wps:txbx>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47.85pt;z-index:251661312;mso-width-relative:page;mso-height-relative:page;" filled="f" stroked="f" coordsize="21600,21600" o:gfxdata="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&#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wFo7fWAAAABAEAAA8AAAAAAAAAAQAgAAAAIgAAAGRy&#10;cy9kb3ducmV2LnhtbFBLAQIUABQAAAAIAIdO4kDn/hDQzgEAAIkDAAAOAAAAAAAAAAEAIAAAACUB&#10;AABkcnMvZTJvRG9jLnhtbFBLBQYAAAAABgAGAFkBAABlBQAAAAA=&#10;">
              <v:fill on="f" focussize="0,0"/>
              <v:stroke on="f" weight="0.566929133858268pt"/>
              <v:imagedata o:title=""/>
              <o:lock v:ext="edit" aspectratio="f"/>
              <v:textbox inset="0mm,0mm,0mm,0mm">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v:textbox>
              <w10:anchorlock/>
            </v:shape>
          </w:pict>
        </mc:Fallback>
      </mc:AlternateContent>
    </w:r>
    <w:r>
      <mc:AlternateContent>
        <mc:Choice Requires="wps">
          <w:drawing>
            <wp:inline distT="0" distB="0" distL="114300" distR="114300">
              <wp:extent cx="5687695"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179705"/>
                      </a:xfrm>
                      <a:prstGeom prst="rect">
                        <a:avLst/>
                      </a:prstGeom>
                      <a:noFill/>
                      <a:ln>
                        <a:noFill/>
                      </a:ln>
                    </wps:spPr>
                    <wps:bodyPr wrap="square" upright="1"/>
                  </wps:wsp>
                </a:graphicData>
              </a:graphic>
            </wp:inline>
          </w:drawing>
        </mc:Choice>
        <mc:Fallback>
          <w:pict>
            <v:rect id="图片 4" o:spid="_x0000_s1026" o:spt="1" style="height:14.15pt;width:447.85pt;" filled="f" stroked="f" coordsize="21600,21600" o:gfxdata="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wUKrdcAAAAEAQAADwAAAAAAAAABACAAAAAiAAAAZHJzL2Rvd25yZXYueG1sUEsB&#10;AhQAFAAAAAgAh07iQFN7nmK9AQAAcAMAAA4AAAAAAAAAAQAgAAAAJgEAAGRycy9lMm9Eb2MueG1s&#10;UEsFBgAAAAAGAAYAWQEAAFUFA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87695"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687695" cy="179705"/>
                      </a:xfrm>
                      <a:prstGeom prst="rect">
                        <a:avLst/>
                      </a:prstGeom>
                      <a:noFill/>
                      <a:ln w="7200">
                        <a:noFill/>
                      </a:ln>
                    </wps:spPr>
                    <wps:txbx>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47.85pt;z-index:251660288;mso-width-relative:page;mso-height-relative:page;" filled="f" stroked="f" coordsize="21600,21600" o:gfxdata="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&#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wFo7fWAAAABAEAAA8AAAAAAAAAAQAgAAAAIgAAAGRy&#10;cy9kb3ducmV2LnhtbFBLAQIUABQAAAAIAIdO4kB31FMNzgEAAIkDAAAOAAAAAAAAAAEAIAAAACUB&#10;AABkcnMvZTJvRG9jLnhtbFBLBQYAAAAABgAGAFkBAABlBQAAAAA=&#10;">
              <v:fill on="f" focussize="0,0"/>
              <v:stroke on="f" weight="0.566929133858268pt"/>
              <v:imagedata o:title=""/>
              <o:lock v:ext="edit" aspectratio="f"/>
              <v:textbox inset="0mm,0mm,0mm,0mm">
                <w:txbxContent>
                  <w:p>
                    <w:pPr>
                      <w:widowControl w:val="0"/>
                      <w:spacing w:line="397" w:lineRule="atLeast"/>
                      <w:jc w:val="center"/>
                      <w:rPr>
                        <w:rFonts w:hint="eastAsia"/>
                        <w:sz w:val="24"/>
                      </w:rPr>
                    </w:pPr>
                    <w:r>
                      <w:rPr>
                        <w:rFonts w:hint="eastAsia"/>
                        <w:sz w:val="24"/>
                      </w:rPr>
                      <w:t>-</w:t>
                    </w:r>
                    <w:r>
                      <w:rPr>
                        <w:rFonts w:hint="eastAsia"/>
                        <w:sz w:val="24"/>
                      </w:rPr>
                      <w:fldChar w:fldCharType="begin"/>
                    </w:r>
                    <w:r>
                      <w:rPr>
                        <w:rFonts w:hint="eastAsia"/>
                        <w:sz w:val="24"/>
                      </w:rPr>
                      <w:instrText xml:space="preserve"> PAGE \* Arabic \* MERGEFORMAT </w:instrText>
                    </w:r>
                    <w:r>
                      <w:rPr>
                        <w:rFonts w:hint="eastAsia"/>
                        <w:sz w:val="24"/>
                      </w:rPr>
                      <w:fldChar w:fldCharType="separate"/>
                    </w:r>
                    <w:r>
                      <w:rPr>
                        <w:rFonts w:hint="eastAsia"/>
                        <w:sz w:val="24"/>
                      </w:rPr>
                      <w:t>?</w:t>
                    </w:r>
                    <w:r>
                      <w:rPr>
                        <w:rFonts w:hint="eastAsia"/>
                        <w:sz w:val="24"/>
                      </w:rPr>
                      <w:fldChar w:fldCharType="end"/>
                    </w:r>
                    <w:r>
                      <w:rPr>
                        <w:rFonts w:hint="eastAsia"/>
                        <w:sz w:val="24"/>
                      </w:rPr>
                      <w:t>-</w:t>
                    </w:r>
                  </w:p>
                </w:txbxContent>
              </v:textbox>
              <w10:anchorlock/>
            </v:shape>
          </w:pict>
        </mc:Fallback>
      </mc:AlternateContent>
    </w:r>
    <w:r>
      <mc:AlternateContent>
        <mc:Choice Requires="wps">
          <w:drawing>
            <wp:inline distT="0" distB="0" distL="114300" distR="114300">
              <wp:extent cx="5687695"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179705"/>
                      </a:xfrm>
                      <a:prstGeom prst="rect">
                        <a:avLst/>
                      </a:prstGeom>
                      <a:noFill/>
                      <a:ln>
                        <a:noFill/>
                      </a:ln>
                    </wps:spPr>
                    <wps:bodyPr wrap="square" upright="1"/>
                  </wps:wsp>
                </a:graphicData>
              </a:graphic>
            </wp:inline>
          </w:drawing>
        </mc:Choice>
        <mc:Fallback>
          <w:pict>
            <v:rect id="图片 3" o:spid="_x0000_s1026" o:spt="1" style="height:14.15pt;width:447.85pt;" filled="f" stroked="f" coordsize="21600,21600" o:gfxdata="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wUKrdcAAAAEAQAADwAAAAAAAAABACAAAAAiAAAAZHJzL2Rvd25yZXYueG1sUEsB&#10;AhQAFAAAAAgAh07iQNl6eeS9AQAAcAMAAA4AAAAAAAAAAQAgAAAAJgEAAGRycy9lMm9Eb2MueG1s&#10;UEsFBgAAAAAGAAYAWQEAAFUFA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87695" cy="9359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687695" cy="935990"/>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3.7pt;width:447.85pt;z-index:251659264;mso-width-relative:page;mso-height-relative:page;" filled="f" stroked="f" coordsize="21600,21600" o:gfxdata="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&#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iuaIY1gAAAAUBAAAPAAAAAAAAAAEAIAAAACIAAABk&#10;cnMvZG93bnJldi54bWxQSwECFAAUAAAACACHTuJApWjVt88BAACJAwAADgAAAAAAAAABACAAAAAl&#10;AQAAZHJzL2Uyb0RvYy54bWxQSwUGAAAAAAYABgBZAQAAZgU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687695" cy="935990"/>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935990"/>
                      </a:xfrm>
                      <a:prstGeom prst="rect">
                        <a:avLst/>
                      </a:prstGeom>
                      <a:noFill/>
                      <a:ln>
                        <a:noFill/>
                      </a:ln>
                    </wps:spPr>
                    <wps:bodyPr wrap="square" upright="1"/>
                  </wps:wsp>
                </a:graphicData>
              </a:graphic>
            </wp:inline>
          </w:drawing>
        </mc:Choice>
        <mc:Fallback>
          <w:pict>
            <v:rect id="图片 2" o:spid="_x0000_s1026" o:spt="1" style="height:73.7pt;width:447.85pt;" filled="f" stroked="f" coordsize="21600,21600" o:gfxdata="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OJnV9cAAAAFAQAADwAAAAAAAAABACAAAAAiAAAAZHJzL2Rvd25yZXYueG1sUEsB&#10;AhQAFAAAAAgAh07iQIZ4zK69AQAAcAMAAA4AAAAAAAAAAQAgAAAAJgEAAGRycy9lMm9Eb2MueG1s&#10;UEsFBgAAAAAGAAYAWQEAAFU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687695" cy="935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87695" cy="935990"/>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3.7pt;width:447.85pt;z-index:251658240;mso-width-relative:page;mso-height-relative:page;" filled="f" stroked="f" coordsize="21600,21600" o:gfxdata="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4rmiGNYAAAAFAQAADwAAAAAAAAABACAAAAAiAAAAZHJz&#10;L2Rvd25yZXYueG1sUEsBAhQAFAAAAAgAh07iQNgUpAL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687695" cy="935990"/>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87695" cy="935990"/>
                      </a:xfrm>
                      <a:prstGeom prst="rect">
                        <a:avLst/>
                      </a:prstGeom>
                      <a:noFill/>
                      <a:ln>
                        <a:noFill/>
                      </a:ln>
                    </wps:spPr>
                    <wps:bodyPr wrap="square" upright="1"/>
                  </wps:wsp>
                </a:graphicData>
              </a:graphic>
            </wp:inline>
          </w:drawing>
        </mc:Choice>
        <mc:Fallback>
          <w:pict>
            <v:rect id="图片 1" o:spid="_x0000_s1026" o:spt="1" style="height:73.7pt;width:447.85pt;" filled="f" stroked="f" coordsize="21600,21600" o:gfxdata="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DiZ1fXAAAABQEAAA8AAAAAAAAAAQAgAAAAIgAAAGRycy9kb3ducmV2LnhtbFBL&#10;AQIUABQAAAAIAIdO4kAGuWpGvgEAAHADAAAOAAAAAAAAAAEAIAAAACYBAABkcnMvZTJvRG9jLnht&#10;bFBLBQYAAAAABgAGAFkBAABW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7464B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2021-04-15T05:44:47Z</dcterms:created>
  <dc:creator>虎林市不动峰网络科技有限公司</dc:creator>
  <cp:lastModifiedBy>虎林市不动峰网络科技有限公司</cp:lastModifiedBy>
  <dcterms:modified xsi:type="dcterms:W3CDTF">2021-04-15T05:44:57Z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